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AC0" w:rsidRDefault="00146AC0" w:rsidP="00146AC0">
      <w:pPr>
        <w:spacing w:after="0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Osielsko, dnia </w:t>
      </w:r>
      <w:r>
        <w:rPr>
          <w:rFonts w:ascii="Times New Roman" w:hAnsi="Times New Roman"/>
          <w:sz w:val="24"/>
          <w:szCs w:val="24"/>
        </w:rPr>
        <w:t>2 lutego 2024 r.</w:t>
      </w:r>
    </w:p>
    <w:p w:rsidR="00146AC0" w:rsidRDefault="00146AC0" w:rsidP="00146AC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Dot. </w:t>
      </w:r>
      <w:r>
        <w:rPr>
          <w:rFonts w:ascii="Times New Roman" w:hAnsi="Times New Roman"/>
          <w:sz w:val="24"/>
          <w:szCs w:val="24"/>
        </w:rPr>
        <w:t>BRG.</w:t>
      </w:r>
      <w:r w:rsidR="00812488">
        <w:rPr>
          <w:rFonts w:ascii="Times New Roman" w:hAnsi="Times New Roman"/>
          <w:sz w:val="24"/>
          <w:szCs w:val="24"/>
        </w:rPr>
        <w:t>0003.1.2024</w:t>
      </w:r>
    </w:p>
    <w:p w:rsidR="00146AC0" w:rsidRDefault="00146AC0" w:rsidP="00FE5451">
      <w:pPr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Radni Gminy Osielsko</w:t>
      </w:r>
    </w:p>
    <w:p w:rsidR="00146AC0" w:rsidRDefault="00146AC0" w:rsidP="00FE5451">
      <w:pPr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Pani </w:t>
      </w:r>
      <w:r>
        <w:rPr>
          <w:rFonts w:ascii="Times New Roman" w:hAnsi="Times New Roman"/>
          <w:b/>
          <w:sz w:val="24"/>
          <w:szCs w:val="24"/>
        </w:rPr>
        <w:t>Beata Polasik</w:t>
      </w:r>
    </w:p>
    <w:p w:rsidR="00146AC0" w:rsidRDefault="00146AC0" w:rsidP="00FE5451">
      <w:pPr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Pan </w:t>
      </w:r>
      <w:r>
        <w:rPr>
          <w:rFonts w:ascii="Times New Roman" w:hAnsi="Times New Roman"/>
          <w:b/>
          <w:sz w:val="24"/>
          <w:szCs w:val="24"/>
        </w:rPr>
        <w:t>Paweł Kamiński</w:t>
      </w:r>
    </w:p>
    <w:p w:rsidR="00146AC0" w:rsidRDefault="00146AC0" w:rsidP="00146AC0">
      <w:pPr>
        <w:spacing w:after="0"/>
        <w:ind w:left="5670"/>
        <w:rPr>
          <w:rFonts w:ascii="Times New Roman" w:hAnsi="Times New Roman"/>
          <w:b/>
          <w:sz w:val="24"/>
          <w:szCs w:val="24"/>
        </w:rPr>
      </w:pPr>
    </w:p>
    <w:p w:rsidR="00146AC0" w:rsidRDefault="00146AC0" w:rsidP="00146AC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Odpowiadając na Państwa interpelację w sprawie planów Urzędu Gminy Osielsko </w:t>
      </w:r>
      <w:r>
        <w:rPr>
          <w:rFonts w:ascii="Times New Roman" w:hAnsi="Times New Roman"/>
          <w:sz w:val="24"/>
          <w:szCs w:val="24"/>
        </w:rPr>
        <w:br/>
        <w:t>w kwestii sporządzenia planu ogólnego oraz uchwały krajobrazowej informuję, co następuje.</w:t>
      </w:r>
    </w:p>
    <w:p w:rsidR="00146AC0" w:rsidRDefault="00146AC0" w:rsidP="00146AC0">
      <w:pPr>
        <w:pStyle w:val="ListParagraph"/>
        <w:numPr>
          <w:ilvl w:val="0"/>
          <w:numId w:val="1"/>
        </w:numPr>
        <w:spacing w:before="120" w:after="0"/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Pan ogólny</w:t>
      </w:r>
    </w:p>
    <w:p w:rsidR="00146AC0" w:rsidRDefault="00146AC0" w:rsidP="00146AC0">
      <w:pPr>
        <w:pStyle w:val="ListParagraph"/>
        <w:numPr>
          <w:ilvl w:val="0"/>
          <w:numId w:val="2"/>
        </w:numPr>
        <w:spacing w:before="12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Środki finansowe na sporządzenie planu zostały w budżecie Gminy zaplanowane. </w:t>
      </w:r>
    </w:p>
    <w:p w:rsidR="00146AC0" w:rsidRDefault="00146AC0" w:rsidP="00146AC0">
      <w:pPr>
        <w:pStyle w:val="ListParagraph"/>
        <w:numPr>
          <w:ilvl w:val="0"/>
          <w:numId w:val="2"/>
        </w:numPr>
        <w:spacing w:before="12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Opracowanie planu zostało uwzględnione w planie postępowań o udzielenie zamówień publicznych na 2024 r. (Urząd Gminy) z przewidywanym terminem wszczęcia postępowania I-II kwartał 2024 r.</w:t>
      </w:r>
    </w:p>
    <w:p w:rsidR="00146AC0" w:rsidRDefault="00146AC0" w:rsidP="00146AC0">
      <w:pPr>
        <w:pStyle w:val="ListParagraph"/>
        <w:numPr>
          <w:ilvl w:val="0"/>
          <w:numId w:val="2"/>
        </w:numPr>
        <w:spacing w:before="12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Dopiero 22 grudnia 2023 r. zostało opublikowane w Dzienniku Ustaw Rozporządzenie Ministra Rozwoju i Technologii w sprawie projektu planu ogólnego gminy, dokumentowania prac planistycznych w zakresie tego planu oraz wydawania </w:t>
      </w:r>
      <w:r>
        <w:rPr>
          <w:rFonts w:ascii="Times New Roman" w:hAnsi="Times New Roman"/>
          <w:sz w:val="24"/>
          <w:szCs w:val="24"/>
        </w:rPr>
        <w:br/>
        <w:t xml:space="preserve">z niego wypisów i wyrysów (Dz.U. z 2023 r., poz. 2758). </w:t>
      </w:r>
    </w:p>
    <w:p w:rsidR="00146AC0" w:rsidRDefault="00146AC0" w:rsidP="00146AC0">
      <w:pPr>
        <w:pStyle w:val="ListParagraph"/>
        <w:numPr>
          <w:ilvl w:val="0"/>
          <w:numId w:val="2"/>
        </w:numPr>
        <w:spacing w:before="12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zostały jeszcze określone wszystkie niezbędne przepisy wykonawcze dotyczące sposobu wyznaczania obszaru uzupełnienia zabudowy, uwzględniając potrzeby kształtowania ładu przestrzennego i racjonalnego gospodarowania gruntami rolnymi, </w:t>
      </w:r>
      <w:r>
        <w:rPr>
          <w:rFonts w:ascii="Times New Roman" w:hAnsi="Times New Roman"/>
          <w:sz w:val="24"/>
          <w:szCs w:val="24"/>
        </w:rPr>
        <w:br/>
        <w:t>w tym przeciwdziałania powstawaniu konfliktów przestrzennych i rozpraszaniu zabudowy.</w:t>
      </w:r>
    </w:p>
    <w:p w:rsidR="00146AC0" w:rsidRDefault="00146AC0" w:rsidP="00146AC0">
      <w:pPr>
        <w:pStyle w:val="ListParagraph"/>
        <w:numPr>
          <w:ilvl w:val="0"/>
          <w:numId w:val="2"/>
        </w:numPr>
        <w:spacing w:before="12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dzień dzisiejszy został przygotowany projekt uchwał</w:t>
      </w:r>
      <w:r w:rsidR="00812488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w sprawie przystąpienia </w:t>
      </w:r>
      <w:r>
        <w:rPr>
          <w:rFonts w:ascii="Times New Roman" w:hAnsi="Times New Roman"/>
          <w:sz w:val="24"/>
          <w:szCs w:val="24"/>
        </w:rPr>
        <w:br/>
        <w:t xml:space="preserve">do sporządzenia planu ogólnego Gminy Osielsko, który zostanie przedstawiony </w:t>
      </w:r>
      <w:r>
        <w:rPr>
          <w:rFonts w:ascii="Times New Roman" w:hAnsi="Times New Roman"/>
          <w:sz w:val="24"/>
          <w:szCs w:val="24"/>
        </w:rPr>
        <w:br/>
        <w:t>na najbliższych komisjach Rady Gminy.</w:t>
      </w:r>
    </w:p>
    <w:p w:rsidR="00146AC0" w:rsidRDefault="00146AC0" w:rsidP="00146AC0">
      <w:pPr>
        <w:pStyle w:val="ListParagraph"/>
        <w:numPr>
          <w:ilvl w:val="0"/>
          <w:numId w:val="1"/>
        </w:numPr>
        <w:spacing w:before="240" w:after="0"/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Uchwała </w:t>
      </w:r>
      <w:r>
        <w:rPr>
          <w:rFonts w:ascii="Times New Roman" w:hAnsi="Times New Roman"/>
          <w:sz w:val="24"/>
          <w:szCs w:val="24"/>
          <w:u w:val="single"/>
        </w:rPr>
        <w:t>„</w:t>
      </w:r>
      <w:r>
        <w:rPr>
          <w:rFonts w:ascii="Times New Roman" w:hAnsi="Times New Roman"/>
          <w:sz w:val="24"/>
          <w:szCs w:val="24"/>
          <w:u w:val="single"/>
        </w:rPr>
        <w:t>krajobrazowa</w:t>
      </w:r>
      <w:r>
        <w:rPr>
          <w:rFonts w:ascii="Times New Roman" w:hAnsi="Times New Roman"/>
          <w:sz w:val="24"/>
          <w:szCs w:val="24"/>
          <w:u w:val="single"/>
        </w:rPr>
        <w:t>”</w:t>
      </w:r>
    </w:p>
    <w:p w:rsidR="00146AC0" w:rsidRDefault="00146AC0" w:rsidP="00146AC0">
      <w:pPr>
        <w:pStyle w:val="ListParagraph"/>
        <w:numPr>
          <w:ilvl w:val="0"/>
          <w:numId w:val="3"/>
        </w:numPr>
        <w:spacing w:before="12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Stanowisko w sprawie fakultatywnej uchwały określającej zasady i warunki sytuowania obiektów małej architektury, tablic reklamowych i urządzeń reklamowych oraz ogrodzeń, ich gabaryty, standardy jakościowe oraz rodzaje materiałów budowlanych, z jakich mogą być wykonane, przedstawiałem Radnym kilkukrotnie.</w:t>
      </w:r>
    </w:p>
    <w:p w:rsidR="00146AC0" w:rsidRDefault="00146AC0" w:rsidP="00146AC0">
      <w:pPr>
        <w:pStyle w:val="ListParagraph"/>
        <w:numPr>
          <w:ilvl w:val="0"/>
          <w:numId w:val="3"/>
        </w:numPr>
        <w:spacing w:before="12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Dnia 21 grudnia 2023 r. został opublikowany Wyrok Trybunału Konstytucyjnego z dnia 12 grudnia 2023 r. sygn. akt P 20/19. Po rozpoznaniu w trybie art. 92 ust. 1 pkt 1 ustawy </w:t>
      </w:r>
      <w:r>
        <w:rPr>
          <w:rFonts w:ascii="Times New Roman" w:hAnsi="Times New Roman"/>
          <w:sz w:val="24"/>
          <w:szCs w:val="24"/>
        </w:rPr>
        <w:br/>
        <w:t xml:space="preserve">z dnia 30 listopada 2016 r. o organizacji i trybie postępowania przed Trybunałem Konstytucyjnym (Dz. U. z 2019 r. poz. 2393), na posiedzeniu niejawnym w dniu 12 grudnia 2023 r., połączonych pytań prawnych Naczelnego Sądu Administracyjnego: </w:t>
      </w:r>
      <w:r w:rsidRPr="00146AC0">
        <w:rPr>
          <w:rFonts w:ascii="Times New Roman" w:hAnsi="Times New Roman"/>
          <w:i/>
          <w:sz w:val="24"/>
          <w:szCs w:val="24"/>
        </w:rPr>
        <w:t>„</w:t>
      </w:r>
      <w:r w:rsidRPr="00146AC0">
        <w:rPr>
          <w:rFonts w:ascii="Times New Roman" w:hAnsi="Times New Roman"/>
          <w:i/>
          <w:sz w:val="24"/>
          <w:szCs w:val="24"/>
        </w:rPr>
        <w:t xml:space="preserve">czy art. 37a ust. 9 ustawy z dnia 27 marca 2003 r. o planowaniu i zagospodarowaniu przestrzennym (Dz. U. z 2018 r. poz. 1945, ze zm.) w zakresie, w jakim "przewiduje obowiązek określenia w uchwale, o której mowa w art. 37a ust. 1 powołanej ustawy, warunków i terminu dostosowania istniejących w dniu jej wejścia w życie, wzniesionych na podstawie zgody budowlanej, tablic reklamowych i urządzeń reklamowych do zakazów określonych w tej uchwale, bez zapewnienia ustawowych podstaw i trybu dochodzenia </w:t>
      </w:r>
      <w:r w:rsidRPr="00146AC0">
        <w:rPr>
          <w:rFonts w:ascii="Times New Roman" w:hAnsi="Times New Roman"/>
          <w:i/>
          <w:sz w:val="24"/>
          <w:szCs w:val="24"/>
        </w:rPr>
        <w:lastRenderedPageBreak/>
        <w:t>odszkodowania przez podmioty, które są zobowiązane do ich usunięcia", jest zgodny z art. 2, art. 21, art. 64 ust. 1 i 2 w związku z art. 31 ust. 3 Konstytucji oraz z art. 1 Protokołu nr 1 do Konwencji o ochronie praw człowieka i podstawowych wolności (Dz. U. z 1995 r. Nr 36, poz. 175, ze zm.)</w:t>
      </w:r>
      <w:r>
        <w:rPr>
          <w:rFonts w:ascii="Times New Roman" w:hAnsi="Times New Roman"/>
          <w:i/>
          <w:sz w:val="24"/>
          <w:szCs w:val="24"/>
        </w:rPr>
        <w:t>”</w:t>
      </w:r>
      <w:r w:rsidRPr="00146AC0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TK orzeka: </w:t>
      </w:r>
    </w:p>
    <w:p w:rsidR="00146AC0" w:rsidRDefault="00146AC0" w:rsidP="00146AC0">
      <w:pPr>
        <w:pStyle w:val="ListParagraph"/>
        <w:spacing w:before="120"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Art. 37a ust. 9 ustawy z dnia 27 marca 2003 r. o planowaniu i zagospodarowaniu przestrzennym (Dz. U. z 2023 r. poz. 977, ze zm.) w zakresie, w jakim przewiduje obowiązek określenia w uchwale, o której mowa w art. 37a ust. 1 powołanej ustawy, warunków i terminu dostosowania istniejących w dniu jej wejścia w życie, wzniesionych na podstawie zgody budowlanej, tablic reklamowych i urządzeń reklamowych do zakazów określonych w tej uchwale, bez zapewnienia ustawowych podstaw i trybu dochodzenia odszkodowania przez podmioty, które są zobowiązane do ich usunięcia, jest niezgodny </w:t>
      </w:r>
      <w:r>
        <w:rPr>
          <w:rFonts w:ascii="Times New Roman" w:hAnsi="Times New Roman"/>
          <w:sz w:val="24"/>
          <w:szCs w:val="24"/>
          <w:u w:val="single"/>
        </w:rPr>
        <w:br/>
        <w:t>z art. 21 w związku z art. 2 Konstytucji Rzeczypospolitej Polskiej.</w:t>
      </w:r>
      <w:r>
        <w:rPr>
          <w:rFonts w:ascii="Times New Roman" w:hAnsi="Times New Roman"/>
          <w:sz w:val="24"/>
          <w:szCs w:val="24"/>
        </w:rPr>
        <w:t xml:space="preserve"> (Dz.U. z 2023 r., poz. 2739).</w:t>
      </w:r>
    </w:p>
    <w:p w:rsidR="00FE5451" w:rsidRDefault="00146AC0" w:rsidP="00146AC0">
      <w:pPr>
        <w:pStyle w:val="ListParagraph"/>
        <w:spacing w:before="120" w:after="0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powyższym uzasadnione jest wstrzymanie się od prac nad przedmiotową uchwałą do czasu nowelizacji ustawy w zakresie </w:t>
      </w:r>
      <w:r w:rsidR="00FE5451">
        <w:rPr>
          <w:rFonts w:ascii="Times New Roman" w:hAnsi="Times New Roman"/>
          <w:sz w:val="24"/>
          <w:szCs w:val="24"/>
        </w:rPr>
        <w:t xml:space="preserve">wskazanym w </w:t>
      </w:r>
      <w:r>
        <w:rPr>
          <w:rFonts w:ascii="Times New Roman" w:hAnsi="Times New Roman"/>
          <w:sz w:val="24"/>
          <w:szCs w:val="24"/>
        </w:rPr>
        <w:t xml:space="preserve">wyroku Trybunału Konstytucyjnego. </w:t>
      </w:r>
    </w:p>
    <w:p w:rsidR="00146AC0" w:rsidRDefault="00146AC0" w:rsidP="00146AC0">
      <w:pPr>
        <w:pStyle w:val="ListParagraph"/>
        <w:spacing w:before="120" w:after="0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Jednocześnie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wyjaśniam, że uchybienie terminowi udzielenia odpowiedzi na interpelację było spowodowane brakiem możliwości udzielenia Państwu konkretnej odpowiedzi ze względu na brak przepisów wykonawczych do ustawy. </w:t>
      </w:r>
    </w:p>
    <w:p w:rsidR="00146AC0" w:rsidRDefault="00146AC0" w:rsidP="00146AC0"/>
    <w:p w:rsidR="009D2F58" w:rsidRDefault="009D2F58"/>
    <w:sectPr w:rsidR="009D2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430A"/>
    <w:multiLevelType w:val="hybridMultilevel"/>
    <w:tmpl w:val="C944DA2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3BB2249"/>
    <w:multiLevelType w:val="hybridMultilevel"/>
    <w:tmpl w:val="92F8AF40"/>
    <w:lvl w:ilvl="0" w:tplc="D6D4360A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B4A6AFA"/>
    <w:multiLevelType w:val="hybridMultilevel"/>
    <w:tmpl w:val="90EC5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11C"/>
    <w:rsid w:val="00146AC0"/>
    <w:rsid w:val="001C548A"/>
    <w:rsid w:val="00812488"/>
    <w:rsid w:val="009D2F58"/>
    <w:rsid w:val="00D2311C"/>
    <w:rsid w:val="00FE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AC0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146AC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AC0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146AC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7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568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3</cp:revision>
  <dcterms:created xsi:type="dcterms:W3CDTF">2024-02-06T09:26:00Z</dcterms:created>
  <dcterms:modified xsi:type="dcterms:W3CDTF">2024-02-06T09:49:00Z</dcterms:modified>
</cp:coreProperties>
</file>