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02D1" w14:textId="77777777" w:rsidR="009D3AC6" w:rsidRDefault="009D3AC6" w:rsidP="009D3A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Wspólne posiedzenie </w:t>
      </w:r>
      <w:r>
        <w:rPr>
          <w:rFonts w:ascii="Times New Roman" w:hAnsi="Times New Roman" w:cs="Times New Roman"/>
          <w:b/>
          <w:sz w:val="28"/>
          <w:szCs w:val="28"/>
        </w:rPr>
        <w:br/>
        <w:t xml:space="preserve"> Komisji ds. rozwoju Gospodarczego oraz Komisji</w:t>
      </w:r>
    </w:p>
    <w:p w14:paraId="0CCBDD60" w14:textId="77777777" w:rsidR="009D3AC6" w:rsidRDefault="009D3AC6" w:rsidP="009D3A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ds. rodziny </w:t>
      </w:r>
    </w:p>
    <w:p w14:paraId="03F8705D" w14:textId="77777777" w:rsidR="009D3AC6" w:rsidRDefault="009D3AC6" w:rsidP="009D3A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 maja 2023 r.</w:t>
      </w:r>
      <w:r>
        <w:rPr>
          <w:rFonts w:ascii="Times New Roman" w:hAnsi="Times New Roman" w:cs="Times New Roman"/>
          <w:b/>
          <w:sz w:val="28"/>
          <w:szCs w:val="28"/>
        </w:rPr>
        <w:br/>
      </w:r>
    </w:p>
    <w:p w14:paraId="6CFB5402" w14:textId="77777777" w:rsidR="009D3AC6" w:rsidRDefault="009D3AC6" w:rsidP="009D3AC6">
      <w:pPr>
        <w:spacing w:after="0" w:line="240" w:lineRule="auto"/>
        <w:rPr>
          <w:rFonts w:ascii="Times New Roman" w:hAnsi="Times New Roman" w:cs="Times New Roman"/>
          <w:sz w:val="24"/>
          <w:szCs w:val="24"/>
        </w:rPr>
      </w:pPr>
      <w:r>
        <w:rPr>
          <w:rFonts w:ascii="Times New Roman" w:hAnsi="Times New Roman" w:cs="Times New Roman"/>
          <w:sz w:val="24"/>
          <w:szCs w:val="24"/>
        </w:rPr>
        <w:t>Tematem posiedzenia Komisji było  omówienie planu zrównoważonej mobilności miejskiej dla Bydgoskiego Obszaru Funkcjonalnego.</w:t>
      </w:r>
    </w:p>
    <w:p w14:paraId="00D2C1B9" w14:textId="77777777" w:rsidR="009D3AC6" w:rsidRDefault="009D3AC6" w:rsidP="009D3AC6">
      <w:pPr>
        <w:rPr>
          <w:rFonts w:ascii="Times New Roman" w:hAnsi="Times New Roman" w:cs="Times New Roman"/>
          <w:sz w:val="24"/>
          <w:szCs w:val="24"/>
        </w:rPr>
      </w:pPr>
      <w:r>
        <w:rPr>
          <w:rFonts w:ascii="Times New Roman" w:hAnsi="Times New Roman" w:cs="Times New Roman"/>
          <w:sz w:val="24"/>
          <w:szCs w:val="24"/>
        </w:rPr>
        <w:t xml:space="preserve">Dzisiejsze obrady połączonych komisji są prowadzone z wykorzystaniem środków porozumiewania się na odległość (zdalny tryb obradowania)  elektroniczny: obraz i dźwięk. Transmisja wideo przez komunikatory. </w:t>
      </w:r>
      <w:r>
        <w:rPr>
          <w:rFonts w:ascii="Times New Roman" w:hAnsi="Times New Roman" w:cs="Times New Roman"/>
          <w:sz w:val="24"/>
          <w:szCs w:val="24"/>
        </w:rPr>
        <w:br/>
        <w:t xml:space="preserve">Nagrania obrad są udostępnione w Biuletynie Informacji Publicznej i na stronie internetowej gminy. Uczestnicząc w Komisji  wyrażacie Państwo zgodę na przetwarzanie i upublicznianie swoich danych osobowych.  </w:t>
      </w:r>
      <w:r>
        <w:rPr>
          <w:rFonts w:ascii="Times New Roman" w:hAnsi="Times New Roman" w:cs="Times New Roman"/>
          <w:sz w:val="24"/>
          <w:szCs w:val="24"/>
        </w:rPr>
        <w:br/>
        <w:t>Posiedzenie komisji prowadził przewodniczący Komisji ds. Rozwoju Paweł Kamiński.</w:t>
      </w:r>
    </w:p>
    <w:p w14:paraId="305E8663" w14:textId="77777777" w:rsidR="009D3AC6" w:rsidRDefault="009D3AC6" w:rsidP="009D3AC6">
      <w:pPr>
        <w:rPr>
          <w:rFonts w:ascii="Times New Roman" w:hAnsi="Times New Roman" w:cs="Times New Roman"/>
          <w:sz w:val="24"/>
          <w:szCs w:val="24"/>
        </w:rPr>
      </w:pPr>
      <w:r>
        <w:rPr>
          <w:rFonts w:ascii="Times New Roman" w:hAnsi="Times New Roman" w:cs="Times New Roman"/>
          <w:sz w:val="24"/>
          <w:szCs w:val="24"/>
        </w:rPr>
        <w:t>Stwierdzono quorum, nieobecny radny A. Wiekierak.</w:t>
      </w:r>
    </w:p>
    <w:p w14:paraId="355655F0" w14:textId="77777777" w:rsidR="009D3AC6" w:rsidRDefault="009D3AC6" w:rsidP="009D3AC6">
      <w:pPr>
        <w:rPr>
          <w:rFonts w:ascii="Times New Roman" w:hAnsi="Times New Roman" w:cs="Times New Roman"/>
          <w:sz w:val="24"/>
          <w:szCs w:val="24"/>
        </w:rPr>
      </w:pPr>
      <w:r>
        <w:rPr>
          <w:rFonts w:ascii="Times New Roman" w:eastAsia="Times New Roman" w:hAnsi="Times New Roman" w:cs="Times New Roman"/>
          <w:sz w:val="24"/>
          <w:szCs w:val="24"/>
        </w:rPr>
        <w:t>Porządek dzisiejszego posiedzenia połączonych komisji jest następujący:</w:t>
      </w:r>
    </w:p>
    <w:p w14:paraId="4C2BB297" w14:textId="77777777" w:rsidR="009D3AC6" w:rsidRDefault="009D3AC6" w:rsidP="009D3AC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  Omówienie </w:t>
      </w:r>
      <w:r>
        <w:rPr>
          <w:rFonts w:ascii="Times New Roman" w:hAnsi="Times New Roman" w:cs="Times New Roman"/>
          <w:sz w:val="24"/>
          <w:szCs w:val="24"/>
        </w:rPr>
        <w:t>planu zrównoważonej mobilności miejskiej dla Bydgoskiego Obszaru Funkcjonalnego.</w:t>
      </w:r>
    </w:p>
    <w:p w14:paraId="436F173F" w14:textId="77777777" w:rsidR="009D3AC6" w:rsidRDefault="009D3AC6" w:rsidP="009D3AC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Sprawy bieżące.</w:t>
      </w:r>
    </w:p>
    <w:p w14:paraId="17DB9984" w14:textId="77777777" w:rsidR="009D3AC6" w:rsidRDefault="009D3AC6" w:rsidP="009D3AC6">
      <w:pPr>
        <w:pStyle w:val="Default"/>
        <w:rPr>
          <w:rFonts w:ascii="Times New Roman" w:hAnsi="Times New Roman" w:cs="Times New Roman"/>
        </w:rPr>
      </w:pPr>
    </w:p>
    <w:p w14:paraId="5E9D1752" w14:textId="77777777" w:rsidR="009D3AC6" w:rsidRDefault="009D3AC6" w:rsidP="009D3AC6">
      <w:pPr>
        <w:pStyle w:val="Default"/>
        <w:rPr>
          <w:rFonts w:ascii="Times New Roman" w:hAnsi="Times New Roman" w:cs="Times New Roman"/>
        </w:rPr>
      </w:pPr>
    </w:p>
    <w:p w14:paraId="4B9491BC" w14:textId="77777777" w:rsidR="009D3AC6" w:rsidRDefault="009D3AC6" w:rsidP="009D3AC6">
      <w:pPr>
        <w:pStyle w:val="Default"/>
        <w:rPr>
          <w:rFonts w:ascii="Times New Roman" w:hAnsi="Times New Roman" w:cs="Times New Roman"/>
        </w:rPr>
      </w:pPr>
    </w:p>
    <w:p w14:paraId="1DA7B72F" w14:textId="50328027" w:rsidR="009D3AC6" w:rsidRDefault="009D3AC6" w:rsidP="00B617DA">
      <w:pPr>
        <w:pStyle w:val="Default"/>
        <w:jc w:val="both"/>
        <w:rPr>
          <w:rFonts w:ascii="Times New Roman" w:hAnsi="Times New Roman" w:cs="Times New Roman"/>
        </w:rPr>
      </w:pPr>
      <w:r>
        <w:rPr>
          <w:rFonts w:ascii="Times New Roman" w:hAnsi="Times New Roman" w:cs="Times New Roman"/>
        </w:rPr>
        <w:t>Przewodniczący Komisji udzielił głosu Panu Jakubowi Ozimkowi.</w:t>
      </w:r>
      <w:r w:rsidR="00B617DA">
        <w:rPr>
          <w:rFonts w:ascii="Times New Roman" w:hAnsi="Times New Roman" w:cs="Times New Roman"/>
        </w:rPr>
        <w:tab/>
      </w:r>
      <w:r>
        <w:rPr>
          <w:rFonts w:ascii="Times New Roman" w:hAnsi="Times New Roman" w:cs="Times New Roman"/>
        </w:rPr>
        <w:br/>
      </w:r>
      <w:r>
        <w:rPr>
          <w:rFonts w:ascii="Times New Roman" w:hAnsi="Times New Roman" w:cs="Times New Roman"/>
          <w:u w:val="single"/>
        </w:rPr>
        <w:t>Pan Jakub Ozimek</w:t>
      </w:r>
      <w:r>
        <w:rPr>
          <w:rFonts w:ascii="Times New Roman" w:hAnsi="Times New Roman" w:cs="Times New Roman"/>
        </w:rPr>
        <w:t xml:space="preserve"> omówił Plan Zrównoważonej Mobilności dla Bydgoskiego Obszaru Funkcjonalnego.</w:t>
      </w:r>
      <w:r>
        <w:rPr>
          <w:rFonts w:ascii="Times New Roman" w:hAnsi="Times New Roman" w:cs="Times New Roman"/>
        </w:rPr>
        <w:br/>
        <w:t xml:space="preserve">Plan jest długoterminową strategią, która nastawiona jest na zapewnienie dobrego dostępu do celów podróży i usług zawierającą również plan wdrożenia. Celem przygotowania tego dokumentu jest zminimalizowanie konieczności odbywania podróży w celu zaspokojenia podstawowych potrzeb. Ograniczenie indywidualnego ruchu samochodowego na rzecz podróży wykonywanych transportem zbiorowym oraz środkami transportu,  rowerami bądź pieszo. Zapewnienie wszystkim obywatelom takich opcji transportowych, które umożliwią im dostęp do celu podróży i usług. Również poprawa stanu bezpieczeństwa wszystkich użytkowników. Cały dokument powstał w myśl 12 kroków planowania zrównoważonej mobilności miejskiej. Aktualnie znajdujemy się na czwartym etapie - wdrożenia planu. Przygotowanie dokumentu poprzedziła szeroko zakrojona diagnoza, która skupiała się wokół kontekstu uwarunkowań rozwoju Bydgoskiego Obszaru Funkcjonalnego. Jej celem była między innymi analiza SWOT i główne wnioski i rekomendacje dla rozwoju zrównoważonej mobilności. W samej Bydgoszczy transport publiczny powinien opierać się o transport tramwajowy powiązany z transportem kolejowym i połączeniami autobusowymi. </w:t>
      </w:r>
      <w:r>
        <w:rPr>
          <w:rFonts w:ascii="Times New Roman" w:hAnsi="Times New Roman" w:cs="Times New Roman"/>
        </w:rPr>
        <w:br/>
        <w:t xml:space="preserve">W pozostałych gminach trzon transportu pasażerskiego powinny stanowić połączenia kolejowe. A tam, gdzie to niemożliwe połączenia autobusowe. Ponadto zaleca się podejmowanie działań związanych z popularyzacją nie samochodowych form przemieszczania. Takich jak rower, podróże piesze, urządzenia transportu osobistego. Ze względu na mnogość form podróżowania konieczne będzie ukształtowanie kompleksowego systemu transportowego, który zakładał będzie integrację różnych środków transportu na węzłach przesiadkowych. A ze względu na dążenie do zrównoważonego rozwoju, poprawy </w:t>
      </w:r>
      <w:r>
        <w:rPr>
          <w:rFonts w:ascii="Times New Roman" w:hAnsi="Times New Roman" w:cs="Times New Roman"/>
        </w:rPr>
        <w:lastRenderedPageBreak/>
        <w:t xml:space="preserve">jakości życia wymagana będzie nieustanna współpraca jednostek samorządu terytorialnego. Natomiast realizacja zadań mających na celu optymalizację przestrzenną docelowo pozytywnie wpłynie na poprawę jakości życia. W dokumencie zostały przeanalizowane trzy scenariusze rozwoju mobilności w całym obszarze funkcjonalnym. Te scenariusze różnią się między sobą zakresem wdrażanych projektów oraz możliwościami finansowymi poszczególnych jednostek samorządowych. Pierwszy scenariusz to jest scenariusz umiarkowany. On zakłada, że jednostki, samorządy gminne zrealizują wszystkie te działania, które sobie zaplanowały. Scenariusz drugi to jest scenariusz pesymistyczny. I w ramach tego scenariusza przyjmuje się, że będą ograniczone możliwości finansowania części przedsięwzięć między innymi ze środków unijnych. I odseparowujących ruch pieszo-rowerowy od ruchu kołowego. Cel trzeci to ochrona i racjonalne gospodarowanie zasobami wody czyli wdrożenie rozwiązań z zakresu błękitno-zielonej infrastruktury. </w:t>
      </w:r>
    </w:p>
    <w:p w14:paraId="731E1132" w14:textId="4F66A9C7" w:rsidR="009D3AC6" w:rsidRDefault="009D3AC6" w:rsidP="00B617DA">
      <w:pPr>
        <w:pStyle w:val="Default"/>
        <w:jc w:val="both"/>
        <w:rPr>
          <w:rFonts w:ascii="Times New Roman" w:hAnsi="Times New Roman" w:cs="Times New Roman"/>
        </w:rPr>
      </w:pPr>
      <w:r>
        <w:rPr>
          <w:rFonts w:ascii="Times New Roman" w:hAnsi="Times New Roman" w:cs="Times New Roman"/>
        </w:rPr>
        <w:t xml:space="preserve">Dla takich gmin jak </w:t>
      </w:r>
      <w:r w:rsidR="00186685">
        <w:rPr>
          <w:rFonts w:ascii="Times New Roman" w:hAnsi="Times New Roman" w:cs="Times New Roman"/>
        </w:rPr>
        <w:t>Osielsko</w:t>
      </w:r>
      <w:r>
        <w:rPr>
          <w:rFonts w:ascii="Times New Roman" w:hAnsi="Times New Roman" w:cs="Times New Roman"/>
        </w:rPr>
        <w:t xml:space="preserve"> kluczowe są zagadnienia związane pośrednio z </w:t>
      </w:r>
      <w:proofErr w:type="spellStart"/>
      <w:r>
        <w:rPr>
          <w:rFonts w:ascii="Times New Roman" w:hAnsi="Times New Roman" w:cs="Times New Roman"/>
        </w:rPr>
        <w:t>elektromobilnością</w:t>
      </w:r>
      <w:proofErr w:type="spellEnd"/>
      <w:r>
        <w:rPr>
          <w:rFonts w:ascii="Times New Roman" w:hAnsi="Times New Roman" w:cs="Times New Roman"/>
        </w:rPr>
        <w:t xml:space="preserve">,  rozwojem komunikacji rowerowej oraz terenami zielonymi. Jeśli chodzi o cel 4 to założenia tego celu dotyczą Państwa w całości. Dotyczą one poprawy w zakresie ruchu drogowego, ochrony danych, wizerunku oraz przestrzeni publicznej. I cele ujęte w tym zakresie odnoszą się do Państwa, jako gminy w całości. Chodzi tu o rozszerzenie współpracy na szczeblu samorządowym z innymi gminami dla sprawnej realizacji zadań aglomeracyjnych w zakresie bezpieczeństwa. Cel drugi to tworzenie procedur weryfikacji opracowanych w ramach dokumentów pod kątem poszczególnych obszarów bezpieczeństwa. Chodzi głównie z Państwa strony o włączenie do procesu projektowania wszystkich działań, które będą dotyczyły badania przyjętych rozwiązań na poziom bezpieczeństwa. Nie tylko w ruchu drogowym w formie audytów i oceny bezpieczeństwa ale także w kształtowaniu przestrzeni publicznej </w:t>
      </w:r>
      <w:r w:rsidR="00186685">
        <w:rPr>
          <w:rFonts w:ascii="Times New Roman" w:hAnsi="Times New Roman" w:cs="Times New Roman"/>
        </w:rPr>
        <w:br/>
      </w:r>
      <w:r>
        <w:rPr>
          <w:rFonts w:ascii="Times New Roman" w:hAnsi="Times New Roman" w:cs="Times New Roman"/>
        </w:rPr>
        <w:t xml:space="preserve">i ochronie danych i wizerunku. Cel trzeci to wdrożenia nowoczesnych rozwiązań w dziedzinie bezpieczeństwa ruchu drogowego, kształtowania przestrzeni publicznej oraz IT i ITS dedykowanych bezpieczeństwu i ochronie. Cel czwarty to stworzenie procedury weryfikacji i poprawy poziomu bezpieczeństwa by móc skoordynować działania związane z utrzymaniem i zarządzanie infrastrukturą transportową we wszystkich gminach obszaru funkcjonalnego. Działania, które dotyczą poprawy bezpieczeństwa związane są zarówno ze współpracą jak i procedurami, bezpieczeństwem ruchu drogowego, bezpieczeństwem informatycznym, monitoringiem, zarządzaniem ryzykiem oraz reagowaniem na zakłócenia. Do tego dokumentu zostały opracowane trzy kluczowe pakiety projektów. Jeden z nich dotyczy w całości  Bydgoszczy i jest to Bydgoski Ruch Tramwajowy. Państwa dotyczą dwa pakiety projektów. Pierwszy dotyczy strefy obsługi autobusowej i  chodzi tu o zapewnienie sprawnego systemu komunikacji autobusowej. Taki, który będzie zapewniał połączenia nie tylko z centrum lokalnym. W konkretnym przypadku może być to centrum gminy ale będzie również umożliwiał przejazdy między gminami. Cały system obsługi autobusowej będzie zapewniał odpowiednią dostępność środków transportowych oraz będzie charakteryzował się jednolitymi standardami funkcjonowania w całym obszarze funkcjonalnym. Na przykład w zakresie cennika biletów bądź taryf. Drugi pakiet projektów, który Państwa bezpośrednio dotyczy, dotyczy aglomeracyjnego systemu dróg rowerowych. Chodzi tu o rozwój infrastruktury transportu rowerowego w całym obszarze funkcjonalnym, we wszystkich gminach. Tak by sieć dróg rowerowych umożliwiała dojazd do centrów lokalnych w poszczególnych gminach. Aby umożliwiała przemieszczenia między gminami na przykład w formie turystycznej a także dostęp do Bydgoszczy. Ten aglomeracyjny system dróg rowerowych powinien być tworzony w oparciu o jednolite standardy wykonania infrastruktury rowerowej i cechować się wysokim poziomem bezpieczeństwa. </w:t>
      </w:r>
    </w:p>
    <w:p w14:paraId="0AC82621" w14:textId="1B9A4EA4" w:rsidR="009D3AC6" w:rsidRPr="00393E0D" w:rsidRDefault="00393E0D" w:rsidP="00B617DA">
      <w:pPr>
        <w:pStyle w:val="Default"/>
        <w:jc w:val="both"/>
        <w:rPr>
          <w:rFonts w:ascii="Times New Roman" w:hAnsi="Times New Roman" w:cs="Times New Roman"/>
        </w:rPr>
      </w:pPr>
      <w:r w:rsidRPr="00393E0D">
        <w:rPr>
          <w:rFonts w:ascii="Times New Roman" w:hAnsi="Times New Roman" w:cs="Times New Roman"/>
        </w:rPr>
        <w:lastRenderedPageBreak/>
        <w:t xml:space="preserve">Po udzieleniu </w:t>
      </w:r>
      <w:bookmarkStart w:id="0" w:name="_GoBack"/>
      <w:bookmarkEnd w:id="0"/>
      <w:r w:rsidR="00BD4FA5" w:rsidRPr="00393E0D">
        <w:rPr>
          <w:rFonts w:ascii="Times New Roman" w:hAnsi="Times New Roman" w:cs="Times New Roman"/>
        </w:rPr>
        <w:t>odpowiedzi na zapytania</w:t>
      </w:r>
      <w:r w:rsidRPr="00393E0D">
        <w:rPr>
          <w:rFonts w:ascii="Times New Roman" w:hAnsi="Times New Roman" w:cs="Times New Roman"/>
        </w:rPr>
        <w:t xml:space="preserve"> i wyjaśnień przez Pana Jakuba Ozimka,</w:t>
      </w:r>
      <w:r w:rsidR="00BD4FA5" w:rsidRPr="00393E0D">
        <w:rPr>
          <w:rFonts w:ascii="Times New Roman" w:hAnsi="Times New Roman" w:cs="Times New Roman"/>
        </w:rPr>
        <w:br/>
      </w:r>
      <w:r w:rsidRPr="00393E0D">
        <w:rPr>
          <w:rFonts w:ascii="Times New Roman" w:hAnsi="Times New Roman" w:cs="Times New Roman"/>
        </w:rPr>
        <w:t>d</w:t>
      </w:r>
      <w:r w:rsidR="00BD4FA5" w:rsidRPr="00393E0D">
        <w:rPr>
          <w:rFonts w:ascii="Times New Roman" w:hAnsi="Times New Roman" w:cs="Times New Roman"/>
        </w:rPr>
        <w:t>yskutowano w tematach zagospodarowania wód opadowych, organizacji i funkcjonowaniu transportu zbiorowego, punktu przesiadkowego z parkingiem, miejscem dla rowerów.</w:t>
      </w:r>
    </w:p>
    <w:p w14:paraId="7D6B222C" w14:textId="77777777" w:rsidR="00393E0D" w:rsidRPr="004556FA" w:rsidRDefault="00393E0D" w:rsidP="00393E0D">
      <w:pPr>
        <w:pStyle w:val="Default"/>
        <w:jc w:val="both"/>
        <w:rPr>
          <w:rFonts w:ascii="Times New Roman" w:hAnsi="Times New Roman" w:cs="Times New Roman"/>
        </w:rPr>
      </w:pPr>
      <w:r w:rsidRPr="002C160B">
        <w:rPr>
          <w:rFonts w:ascii="Times New Roman" w:eastAsiaTheme="minorEastAsia" w:hAnsi="Times New Roman" w:cs="Times New Roman"/>
          <w:lang w:eastAsia="pl-PL"/>
        </w:rPr>
        <w:t xml:space="preserve">Przewodniczący Komisji </w:t>
      </w:r>
      <w:proofErr w:type="spellStart"/>
      <w:r w:rsidRPr="004556FA">
        <w:rPr>
          <w:rFonts w:ascii="Times New Roman" w:hAnsi="Times New Roman" w:cs="Times New Roman"/>
        </w:rPr>
        <w:t>P.Kamiński</w:t>
      </w:r>
      <w:proofErr w:type="spellEnd"/>
      <w:r w:rsidRPr="004556FA">
        <w:rPr>
          <w:rFonts w:ascii="Times New Roman" w:hAnsi="Times New Roman" w:cs="Times New Roman"/>
        </w:rPr>
        <w:t xml:space="preserve"> zaproponował spotkanie komisji, na której poświęcimy czas wyłącznie tzw. uchwale krajobrazowej.  </w:t>
      </w:r>
    </w:p>
    <w:p w14:paraId="120ADA96" w14:textId="77777777" w:rsidR="00393E0D" w:rsidRPr="002C160B" w:rsidRDefault="00393E0D" w:rsidP="00393E0D">
      <w:pPr>
        <w:jc w:val="both"/>
        <w:rPr>
          <w:rFonts w:ascii="Times New Roman" w:hAnsi="Times New Roman" w:cs="Times New Roman"/>
          <w:sz w:val="24"/>
          <w:szCs w:val="24"/>
        </w:rPr>
      </w:pPr>
      <w:r w:rsidRPr="004556FA">
        <w:rPr>
          <w:rFonts w:ascii="Times New Roman" w:hAnsi="Times New Roman" w:cs="Times New Roman"/>
        </w:rPr>
        <w:t xml:space="preserve"> </w:t>
      </w:r>
      <w:r w:rsidRPr="002C160B">
        <w:rPr>
          <w:rFonts w:ascii="Times New Roman" w:hAnsi="Times New Roman" w:cs="Times New Roman"/>
          <w:sz w:val="24"/>
          <w:szCs w:val="24"/>
        </w:rPr>
        <w:t xml:space="preserve">Następnie Przewodniczący Komisji poddał pod głosowanie ustalenie trybu obrad kolejnej Rady Gminy- </w:t>
      </w:r>
      <w:r w:rsidRPr="002C160B">
        <w:rPr>
          <w:rFonts w:ascii="Times New Roman" w:hAnsi="Times New Roman" w:cs="Times New Roman"/>
          <w:sz w:val="24"/>
          <w:szCs w:val="24"/>
          <w:u w:val="single"/>
        </w:rPr>
        <w:t>zdalny tryb obradowania</w:t>
      </w:r>
      <w:r w:rsidRPr="002C160B">
        <w:rPr>
          <w:rFonts w:ascii="Times New Roman" w:hAnsi="Times New Roman" w:cs="Times New Roman"/>
          <w:sz w:val="24"/>
          <w:szCs w:val="24"/>
        </w:rPr>
        <w:t>.</w:t>
      </w:r>
    </w:p>
    <w:p w14:paraId="457075D9" w14:textId="77777777" w:rsidR="00393E0D" w:rsidRPr="002C160B" w:rsidRDefault="00393E0D" w:rsidP="00393E0D">
      <w:pPr>
        <w:spacing w:after="0" w:line="240" w:lineRule="auto"/>
        <w:rPr>
          <w:rFonts w:cs="Times New Roman"/>
          <w:sz w:val="24"/>
          <w:szCs w:val="24"/>
        </w:rPr>
      </w:pPr>
      <w:r w:rsidRPr="002C160B">
        <w:rPr>
          <w:rFonts w:ascii="Times New Roman" w:hAnsi="Times New Roman" w:cs="Times New Roman"/>
          <w:color w:val="333333"/>
          <w:sz w:val="24"/>
          <w:szCs w:val="24"/>
        </w:rPr>
        <w:t>Wynik głosowania jednogłośnie – za.</w:t>
      </w:r>
      <w:r w:rsidRPr="002C160B">
        <w:rPr>
          <w:rFonts w:ascii="Times New Roman" w:hAnsi="Times New Roman" w:cs="Times New Roman"/>
          <w:color w:val="333333"/>
          <w:sz w:val="24"/>
          <w:szCs w:val="24"/>
        </w:rPr>
        <w:tab/>
      </w:r>
    </w:p>
    <w:p w14:paraId="0665D902" w14:textId="77777777" w:rsidR="00393E0D" w:rsidRPr="002C160B" w:rsidRDefault="00393E0D" w:rsidP="00393E0D">
      <w:pPr>
        <w:spacing w:after="0" w:line="240" w:lineRule="auto"/>
        <w:jc w:val="both"/>
        <w:rPr>
          <w:rFonts w:ascii="Times New Roman" w:hAnsi="Times New Roman" w:cs="Times New Roman"/>
          <w:sz w:val="24"/>
          <w:szCs w:val="24"/>
        </w:rPr>
      </w:pPr>
    </w:p>
    <w:p w14:paraId="0C42C6AB" w14:textId="77777777" w:rsidR="00393E0D" w:rsidRPr="002C160B" w:rsidRDefault="00393E0D" w:rsidP="00393E0D">
      <w:pPr>
        <w:spacing w:after="0" w:line="240" w:lineRule="auto"/>
        <w:rPr>
          <w:rFonts w:ascii="Times New Roman" w:hAnsi="Times New Roman" w:cs="Times New Roman"/>
          <w:sz w:val="24"/>
          <w:szCs w:val="24"/>
        </w:rPr>
      </w:pPr>
      <w:proofErr w:type="spellStart"/>
      <w:r w:rsidRPr="002C160B">
        <w:rPr>
          <w:rFonts w:ascii="Times New Roman" w:hAnsi="Times New Roman" w:cs="Times New Roman"/>
          <w:sz w:val="24"/>
          <w:szCs w:val="24"/>
        </w:rPr>
        <w:t>Protokoł</w:t>
      </w:r>
      <w:proofErr w:type="spellEnd"/>
      <w:r w:rsidRPr="002C160B">
        <w:rPr>
          <w:rFonts w:ascii="Times New Roman" w:hAnsi="Times New Roman" w:cs="Times New Roman"/>
          <w:sz w:val="24"/>
          <w:szCs w:val="24"/>
        </w:rPr>
        <w:t xml:space="preserve"> pisany jest  online  i wyświetlany na </w:t>
      </w:r>
      <w:proofErr w:type="spellStart"/>
      <w:r w:rsidRPr="002C160B">
        <w:rPr>
          <w:rFonts w:ascii="Times New Roman" w:hAnsi="Times New Roman" w:cs="Times New Roman"/>
          <w:sz w:val="24"/>
          <w:szCs w:val="24"/>
        </w:rPr>
        <w:t>Teamsie</w:t>
      </w:r>
      <w:proofErr w:type="spellEnd"/>
      <w:r w:rsidRPr="002C160B">
        <w:rPr>
          <w:rFonts w:ascii="Times New Roman" w:hAnsi="Times New Roman" w:cs="Times New Roman"/>
          <w:sz w:val="24"/>
          <w:szCs w:val="24"/>
        </w:rPr>
        <w:t xml:space="preserve">. </w:t>
      </w:r>
      <w:r w:rsidRPr="002C160B">
        <w:rPr>
          <w:rFonts w:ascii="Times New Roman" w:hAnsi="Times New Roman" w:cs="Times New Roman"/>
          <w:sz w:val="24"/>
          <w:szCs w:val="24"/>
        </w:rPr>
        <w:br/>
        <w:t>Na tym posiedzenie komisji zakończono.</w:t>
      </w:r>
    </w:p>
    <w:p w14:paraId="78CC56A6" w14:textId="77777777" w:rsidR="00393E0D" w:rsidRPr="002C160B" w:rsidRDefault="00393E0D" w:rsidP="00393E0D">
      <w:pPr>
        <w:spacing w:after="0" w:line="240" w:lineRule="auto"/>
        <w:rPr>
          <w:rFonts w:ascii="Times New Roman" w:hAnsi="Times New Roman" w:cs="Times New Roman"/>
          <w:sz w:val="24"/>
          <w:szCs w:val="24"/>
        </w:rPr>
      </w:pPr>
    </w:p>
    <w:p w14:paraId="522517EA" w14:textId="77777777" w:rsidR="00393E0D" w:rsidRPr="002C160B" w:rsidRDefault="00393E0D" w:rsidP="00393E0D">
      <w:pPr>
        <w:spacing w:after="0" w:line="240" w:lineRule="auto"/>
        <w:jc w:val="center"/>
        <w:rPr>
          <w:rFonts w:ascii="Times New Roman" w:hAnsi="Times New Roman" w:cs="Times New Roman"/>
          <w:bCs/>
          <w:sz w:val="24"/>
          <w:szCs w:val="24"/>
        </w:rPr>
      </w:pPr>
      <w:r w:rsidRPr="002C160B">
        <w:rPr>
          <w:rFonts w:ascii="Times New Roman" w:hAnsi="Times New Roman" w:cs="Times New Roman"/>
          <w:bCs/>
          <w:sz w:val="24"/>
          <w:szCs w:val="24"/>
        </w:rPr>
        <w:t>Przewodniczący komisji</w:t>
      </w:r>
      <w:r w:rsidRPr="002C160B">
        <w:rPr>
          <w:rFonts w:ascii="Times New Roman" w:hAnsi="Times New Roman" w:cs="Times New Roman"/>
          <w:bCs/>
          <w:sz w:val="24"/>
          <w:szCs w:val="24"/>
        </w:rPr>
        <w:br/>
        <w:t>Paweł Kamiński</w:t>
      </w:r>
      <w:r w:rsidRPr="002C160B">
        <w:rPr>
          <w:rFonts w:eastAsia="Times New Roman" w:cs="Times New Roman"/>
          <w:b/>
        </w:rPr>
        <w:t xml:space="preserve"> </w:t>
      </w:r>
      <w:r w:rsidRPr="002C160B">
        <w:rPr>
          <w:rFonts w:eastAsia="Times New Roman" w:cs="Times New Roman"/>
        </w:rPr>
        <w:t xml:space="preserve"> </w:t>
      </w:r>
    </w:p>
    <w:p w14:paraId="74133E5A" w14:textId="77777777" w:rsidR="00393E0D" w:rsidRPr="004556FA" w:rsidRDefault="00393E0D" w:rsidP="00393E0D">
      <w:pPr>
        <w:pStyle w:val="Default"/>
        <w:jc w:val="both"/>
        <w:rPr>
          <w:rFonts w:ascii="Times New Roman" w:hAnsi="Times New Roman" w:cs="Times New Roman"/>
        </w:rPr>
      </w:pPr>
    </w:p>
    <w:p w14:paraId="214BF470" w14:textId="77777777" w:rsidR="00393E0D" w:rsidRPr="00440879" w:rsidRDefault="00393E0D" w:rsidP="00393E0D">
      <w:pPr>
        <w:pStyle w:val="Default"/>
        <w:rPr>
          <w:rFonts w:ascii="Times New Roman" w:hAnsi="Times New Roman" w:cs="Times New Roman"/>
        </w:rPr>
      </w:pPr>
      <w:r>
        <w:rPr>
          <w:rFonts w:ascii="Times New Roman" w:hAnsi="Times New Roman" w:cs="Times New Roman"/>
        </w:rPr>
        <w:t xml:space="preserve"> </w:t>
      </w:r>
    </w:p>
    <w:p w14:paraId="79ED3C55" w14:textId="77777777" w:rsidR="00393E0D" w:rsidRPr="00440879" w:rsidRDefault="00393E0D" w:rsidP="00393E0D">
      <w:pPr>
        <w:pStyle w:val="Default"/>
        <w:rPr>
          <w:rFonts w:ascii="Times New Roman" w:hAnsi="Times New Roman" w:cs="Times New Roman"/>
          <w:b/>
          <w:bCs/>
        </w:rPr>
      </w:pPr>
    </w:p>
    <w:p w14:paraId="20B07FE6" w14:textId="77777777" w:rsidR="003B1AF1" w:rsidRDefault="003B1AF1" w:rsidP="00B617DA">
      <w:pPr>
        <w:pStyle w:val="Default"/>
        <w:jc w:val="both"/>
        <w:rPr>
          <w:rFonts w:ascii="Times New Roman" w:hAnsi="Times New Roman" w:cs="Times New Roman"/>
        </w:rPr>
      </w:pPr>
    </w:p>
    <w:p w14:paraId="3B6B6E85" w14:textId="2A0F7B6D" w:rsidR="009D3AC6" w:rsidRDefault="00BD4FA5" w:rsidP="00BD4FA5">
      <w:pPr>
        <w:pStyle w:val="Default"/>
        <w:tabs>
          <w:tab w:val="left" w:pos="2329"/>
        </w:tabs>
        <w:jc w:val="both"/>
        <w:rPr>
          <w:rFonts w:ascii="Times New Roman" w:hAnsi="Times New Roman" w:cs="Times New Roman"/>
        </w:rPr>
      </w:pPr>
      <w:r>
        <w:rPr>
          <w:rFonts w:ascii="Times New Roman" w:hAnsi="Times New Roman" w:cs="Times New Roman"/>
        </w:rPr>
        <w:tab/>
      </w:r>
    </w:p>
    <w:p w14:paraId="2EFEC317" w14:textId="02FF978A" w:rsidR="00BD4FA5" w:rsidRDefault="00BD4FA5" w:rsidP="00BD4FA5">
      <w:pPr>
        <w:pStyle w:val="Default"/>
        <w:tabs>
          <w:tab w:val="left" w:pos="2329"/>
        </w:tabs>
        <w:jc w:val="both"/>
        <w:rPr>
          <w:rFonts w:ascii="Times New Roman" w:hAnsi="Times New Roman" w:cs="Times New Roman"/>
        </w:rPr>
      </w:pPr>
      <w:r>
        <w:rPr>
          <w:rFonts w:ascii="Times New Roman" w:hAnsi="Times New Roman" w:cs="Times New Roman"/>
        </w:rPr>
        <w:t>Na tym spotkanie komisji zakończono.</w:t>
      </w:r>
    </w:p>
    <w:p w14:paraId="75D5F1B8" w14:textId="04FB8E61" w:rsidR="00315805" w:rsidRDefault="00BD4FA5" w:rsidP="00B617DA">
      <w:pPr>
        <w:jc w:val="both"/>
      </w:pPr>
      <w:r>
        <w:t xml:space="preserve"> </w:t>
      </w:r>
    </w:p>
    <w:sectPr w:rsidR="00315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F1"/>
    <w:rsid w:val="00186685"/>
    <w:rsid w:val="002830D1"/>
    <w:rsid w:val="00315805"/>
    <w:rsid w:val="00393E0D"/>
    <w:rsid w:val="003B1AF1"/>
    <w:rsid w:val="00477E43"/>
    <w:rsid w:val="009D3AC6"/>
    <w:rsid w:val="00A646F1"/>
    <w:rsid w:val="00B617DA"/>
    <w:rsid w:val="00BD4FA5"/>
    <w:rsid w:val="00C44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AC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D3AC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AC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D3A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2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1076</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Michna</dc:creator>
  <cp:keywords/>
  <dc:description/>
  <cp:lastModifiedBy>Klimek Wiesława</cp:lastModifiedBy>
  <cp:revision>9</cp:revision>
  <dcterms:created xsi:type="dcterms:W3CDTF">2023-08-03T10:58:00Z</dcterms:created>
  <dcterms:modified xsi:type="dcterms:W3CDTF">2023-10-19T12:32:00Z</dcterms:modified>
</cp:coreProperties>
</file>