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59" w:rsidRPr="00C03A59" w:rsidRDefault="00C03A59" w:rsidP="00C03A59">
      <w:pPr>
        <w:pStyle w:val="Tekstpodstawowy"/>
        <w:jc w:val="right"/>
        <w:rPr>
          <w:rFonts w:ascii="Calibri" w:hAnsi="Calibri"/>
        </w:rPr>
      </w:pPr>
      <w:bookmarkStart w:id="0" w:name="_GoBack"/>
      <w:r w:rsidRPr="00C03A59">
        <w:rPr>
          <w:rFonts w:ascii="Calibri" w:hAnsi="Calibri"/>
        </w:rPr>
        <w:t>Zał. nr 7 do SWZ</w:t>
      </w:r>
    </w:p>
    <w:bookmarkEnd w:id="0"/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 oprawy oświetleniowe z zasila</w:t>
      </w:r>
      <w:r w:rsidR="004856F7">
        <w:rPr>
          <w:rFonts w:ascii="Calibri" w:hAnsi="Calibri"/>
        </w:rPr>
        <w:t xml:space="preserve">czem o współczynniku mocy </w:t>
      </w:r>
      <w:proofErr w:type="spellStart"/>
      <w:r w:rsidR="004856F7">
        <w:rPr>
          <w:rFonts w:ascii="Calibri" w:hAnsi="Calibri"/>
        </w:rPr>
        <w:t>cos</w:t>
      </w:r>
      <w:r w:rsidR="004856F7">
        <w:rPr>
          <w:rFonts w:ascii="Calibri" w:hAnsi="Calibri" w:cs="Calibri"/>
        </w:rPr>
        <w:t>φ</w:t>
      </w:r>
      <w:proofErr w:type="spellEnd"/>
      <w:r w:rsidR="004856F7">
        <w:rPr>
          <w:rFonts w:ascii="Calibri" w:hAnsi="Calibri"/>
        </w:rPr>
        <w:t xml:space="preserve"> &gt;0,98</w:t>
      </w:r>
    </w:p>
    <w:p w:rsidR="00F00317" w:rsidRDefault="004856F7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-3</w:t>
      </w:r>
      <w:r w:rsidR="00BD642D">
        <w:rPr>
          <w:rFonts w:ascii="Calibri" w:hAnsi="Calibri"/>
          <w:color w:val="000000"/>
        </w:rPr>
        <w:t>0˚ do + 40˚</w:t>
      </w:r>
      <w:r w:rsidR="00BD642D"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regulacja kąta nachylenia oprawy od -90 do +10 stopni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</w:p>
    <w:p w:rsidR="00F00317" w:rsidRDefault="00F00317">
      <w:pPr>
        <w:rPr>
          <w:rFonts w:ascii="Calibri" w:hAnsi="Calibri"/>
          <w:b/>
          <w:bCs/>
        </w:rPr>
      </w:pPr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17"/>
    <w:rsid w:val="001324FE"/>
    <w:rsid w:val="003C45B4"/>
    <w:rsid w:val="00445559"/>
    <w:rsid w:val="004856F7"/>
    <w:rsid w:val="00A0589C"/>
    <w:rsid w:val="00BD642D"/>
    <w:rsid w:val="00C03A59"/>
    <w:rsid w:val="00EF6630"/>
    <w:rsid w:val="00F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Zampub</cp:lastModifiedBy>
  <cp:revision>6</cp:revision>
  <cp:lastPrinted>2022-06-07T11:05:00Z</cp:lastPrinted>
  <dcterms:created xsi:type="dcterms:W3CDTF">2022-02-17T11:20:00Z</dcterms:created>
  <dcterms:modified xsi:type="dcterms:W3CDTF">2022-06-07T11:05:00Z</dcterms:modified>
  <dc:language>pl-PL</dc:language>
</cp:coreProperties>
</file>