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2A" w:rsidRPr="00BD1530" w:rsidRDefault="00F7502A" w:rsidP="00F750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D1530">
        <w:rPr>
          <w:rFonts w:ascii="Times New Roman" w:eastAsia="Times New Roman" w:hAnsi="Times New Roman" w:cs="Times New Roman"/>
          <w:lang w:eastAsia="pl-PL"/>
        </w:rPr>
        <w:t xml:space="preserve">Osielsko, </w:t>
      </w:r>
      <w:r w:rsidRPr="00BD1530">
        <w:rPr>
          <w:rFonts w:ascii="Times New Roman" w:eastAsia="Times New Roman" w:hAnsi="Times New Roman" w:cs="Times New Roman"/>
          <w:lang w:val="en-US" w:eastAsia="pl-PL"/>
        </w:rPr>
        <w:t>1</w:t>
      </w:r>
      <w:r w:rsidR="007E178C" w:rsidRPr="00BD1530">
        <w:rPr>
          <w:rFonts w:ascii="Times New Roman" w:eastAsia="Times New Roman" w:hAnsi="Times New Roman" w:cs="Times New Roman"/>
          <w:lang w:val="en-US" w:eastAsia="pl-PL"/>
        </w:rPr>
        <w:t>3</w:t>
      </w:r>
      <w:r w:rsidRPr="00BD1530">
        <w:rPr>
          <w:rFonts w:ascii="Times New Roman" w:eastAsia="Times New Roman" w:hAnsi="Times New Roman" w:cs="Times New Roman"/>
          <w:lang w:eastAsia="pl-PL"/>
        </w:rPr>
        <w:t>.05.2022 r.</w:t>
      </w:r>
    </w:p>
    <w:p w:rsidR="00F7502A" w:rsidRPr="00BD1530" w:rsidRDefault="00F7502A" w:rsidP="00F7502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F7502A" w:rsidRPr="00BD1530" w:rsidRDefault="00F7502A" w:rsidP="00F7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D1530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F7502A" w:rsidRPr="00BD1530" w:rsidRDefault="00F7502A" w:rsidP="00F7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7502A" w:rsidRPr="00BD1530" w:rsidRDefault="00F7502A" w:rsidP="00F7502A">
      <w:pPr>
        <w:spacing w:after="0"/>
        <w:jc w:val="both"/>
        <w:rPr>
          <w:rFonts w:ascii="Times New Roman" w:hAnsi="Times New Roman" w:cs="Times New Roman"/>
          <w:b/>
        </w:rPr>
      </w:pPr>
      <w:r w:rsidRPr="00BD1530">
        <w:rPr>
          <w:rFonts w:ascii="Times New Roman" w:hAnsi="Times New Roman" w:cs="Times New Roman"/>
          <w:b/>
        </w:rPr>
        <w:t xml:space="preserve">„Rozbudowa ulicy Słonecznej w Osielsku wraz ze skrzyżowaniem z ul. Kolonijną, budowa wlotu ul. Wakacyjnej wraz z przejściem dla pieszych przez ul. Kolonijną, przebudowa sieci wodociągowej, budowa kanalizacji sanitarnej tłocznej oraz budowa rurociągu odwodnieniowego” </w:t>
      </w:r>
    </w:p>
    <w:p w:rsidR="00F7502A" w:rsidRPr="00BD1530" w:rsidRDefault="00F7502A" w:rsidP="00F7502A">
      <w:pPr>
        <w:spacing w:after="0"/>
        <w:jc w:val="both"/>
        <w:rPr>
          <w:rFonts w:ascii="Times New Roman" w:hAnsi="Times New Roman" w:cs="Times New Roman"/>
          <w:b/>
        </w:rPr>
      </w:pPr>
    </w:p>
    <w:p w:rsidR="00F7502A" w:rsidRPr="00BD1530" w:rsidRDefault="00F7502A" w:rsidP="00F7502A">
      <w:pPr>
        <w:spacing w:after="0"/>
        <w:rPr>
          <w:rFonts w:ascii="Times New Roman" w:hAnsi="Times New Roman" w:cs="Times New Roman"/>
          <w:b/>
        </w:rPr>
      </w:pPr>
      <w:r w:rsidRPr="00BD1530">
        <w:rPr>
          <w:rFonts w:ascii="Times New Roman" w:hAnsi="Times New Roman" w:cs="Times New Roman"/>
          <w:b/>
        </w:rPr>
        <w:t>IiZP.271.B.7.2022</w:t>
      </w:r>
    </w:p>
    <w:p w:rsidR="00F7502A" w:rsidRPr="00BD1530" w:rsidRDefault="00F7502A" w:rsidP="00F7502A">
      <w:pPr>
        <w:spacing w:after="0"/>
        <w:rPr>
          <w:rFonts w:ascii="Times New Roman" w:hAnsi="Times New Roman" w:cs="Times New Roman"/>
        </w:rPr>
      </w:pPr>
    </w:p>
    <w:p w:rsidR="00DA761F" w:rsidRPr="00BD1530" w:rsidRDefault="00DC4A82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1530">
        <w:rPr>
          <w:rFonts w:ascii="Times New Roman" w:hAnsi="Times New Roman" w:cs="Times New Roman"/>
          <w:b/>
          <w:color w:val="FF0000"/>
        </w:rPr>
        <w:t xml:space="preserve"> </w:t>
      </w:r>
      <w:r w:rsidR="00DA761F" w:rsidRPr="00BD1530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="00DA761F" w:rsidRPr="00BD1530">
        <w:rPr>
          <w:rFonts w:ascii="Times New Roman" w:eastAsia="Times New Roman" w:hAnsi="Times New Roman" w:cs="Times New Roman"/>
          <w:b/>
          <w:lang w:eastAsia="pl-PL"/>
        </w:rPr>
        <w:t>Informacja o kwocie, jaką Zamawiający zamierza przeznaczyć na sfinansowanie zamówienia</w:t>
      </w:r>
      <w:r w:rsidR="00DA761F" w:rsidRPr="00BD1530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Wykonawca wnosi o przedstawienie informacji o kwocie, jaką Zamawiający zamierza przeznaczyć na sfinansowanie zamówienia wcześniej niż tuż przed przedstawieniem informacji z otwarcia ofert - w formie odpowiedzi na złożone zapytanie. Czy Zamawiający potwierdza wartość wskazaną w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Planie postępowań o udzielenie zamówień na rok 2022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”, w którym orientacyjna wartość zamówienia wynosi 5.210.000,00 zł netto? 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color w:val="FF0000"/>
          <w:lang w:eastAsia="pl-PL"/>
        </w:rPr>
        <w:t>Odp.</w:t>
      </w:r>
      <w:r w:rsidRPr="00BD1530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b/>
          <w:color w:val="FF0000"/>
          <w:lang w:eastAsia="pl-PL"/>
        </w:rPr>
        <w:t>Tak</w:t>
      </w:r>
    </w:p>
    <w:p w:rsidR="00DA761F" w:rsidRPr="00DA761F" w:rsidRDefault="00DA761F" w:rsidP="00DA761F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Wzór Umowy / Kary / Zasada równości stron stosunku umownego</w:t>
      </w:r>
      <w:r w:rsidRPr="00DA761F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 zapisami wzoru Umowy: § 17, ust. 2: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Wykonawca zapłaci Zamawiającemu kary umowne: a) za zwłokę w wykonaniu przedmiotu umowy w wysokości </w:t>
      </w:r>
      <w:r w:rsidRPr="00DA761F">
        <w:rPr>
          <w:rFonts w:ascii="Times New Roman" w:eastAsia="Times New Roman" w:hAnsi="Times New Roman" w:cs="Times New Roman"/>
          <w:i/>
          <w:u w:val="single"/>
          <w:lang w:eastAsia="pl-PL"/>
        </w:rPr>
        <w:t>0,2 % wynagrodzenia umownego netto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 za ten przedmiot </w:t>
      </w:r>
      <w:r w:rsidRPr="00DA761F">
        <w:rPr>
          <w:rFonts w:ascii="Times New Roman" w:eastAsia="Times New Roman" w:hAnsi="Times New Roman" w:cs="Times New Roman"/>
          <w:i/>
          <w:u w:val="single"/>
          <w:lang w:eastAsia="pl-PL"/>
        </w:rPr>
        <w:t>za każdy dzień zwłoki”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. Jednocześnie, zgodnie z </w:t>
      </w:r>
      <w:r w:rsidRPr="00DA761F">
        <w:rPr>
          <w:rFonts w:ascii="Times New Roman" w:eastAsia="Times New Roman" w:hAnsi="Times New Roman" w:cs="Times New Roman"/>
          <w:lang w:eastAsia="pl-PL"/>
        </w:rPr>
        <w:t>§ 17, ust. 3: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 „Zamawiający zapłaci Wykonawcy kary umowne za zwłokę w przeprowadzeniu odbioru w wysokości </w:t>
      </w:r>
      <w:r w:rsidRPr="00DA761F">
        <w:rPr>
          <w:rFonts w:ascii="Times New Roman" w:eastAsia="Times New Roman" w:hAnsi="Times New Roman" w:cs="Times New Roman"/>
          <w:i/>
          <w:u w:val="single"/>
          <w:lang w:eastAsia="pl-PL"/>
        </w:rPr>
        <w:t>50 zł za każdy dzień zwłoki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licząc od  następnego dnia po terminie w którym odbiór miał być zakończony</w:t>
      </w:r>
      <w:r w:rsidRPr="00DA761F">
        <w:rPr>
          <w:rFonts w:ascii="Times New Roman" w:eastAsia="Times New Roman" w:hAnsi="Times New Roman" w:cs="Times New Roman"/>
          <w:lang w:eastAsia="pl-PL"/>
        </w:rPr>
        <w:t>”.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ab/>
        <w:t>Przy założeniu, że Wykonawca złoży ofertę bliską tej, którą Zamawiający przewidział jako orientacyjną wartość zamówienia, tj. 5.210.000,00 zł netto, to kara nałożona na Wykonawcę w pierwszej sytuacji wyniosłaby: 0,2% x 5.210.000,00 zł = 10.420,00zł / dzień zwłoki. Jest to wartość znacząco wyższa (ponad 200-krotnie wyższa) od wskazanej w Umowie każe, którą obarczony zostałby Zamawiający, tj. 50zł / dzień zwłoki.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ab/>
        <w:t>Wykonawca poddaje w wątpliwość zachowania w powyższych zapisach Umowy zasady równości stron stosunku umownego i wnioskuje o wyrównanie poziomu kar, sugerując przy tym zmniejszenie wartości kar nakładanych na Wykonawcę.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Zamawiający nie będzie wnosił zmian do umowy w w/w zakresie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Wzór Umowy / Rozliczenie wykonanych robót</w:t>
      </w:r>
      <w:r w:rsidRPr="00DA761F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 zapisami wzoru Umowy: § 13, ust. 1: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Strony postanawiają, że rozliczenie za wykonane roboty następować będzie sukcesywnie na podstawie faktur częściowych wystawionych przez Wykonawcę na koniec każdego etapu</w:t>
      </w:r>
      <w:r w:rsidRPr="00DA761F">
        <w:rPr>
          <w:rFonts w:ascii="Times New Roman" w:eastAsia="Times New Roman" w:hAnsi="Times New Roman" w:cs="Times New Roman"/>
          <w:lang w:eastAsia="pl-PL"/>
        </w:rPr>
        <w:t>”.</w:t>
      </w:r>
    </w:p>
    <w:p w:rsidR="00DA761F" w:rsidRPr="00DA761F" w:rsidRDefault="00DA761F" w:rsidP="00DA761F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Czy wymienione we wzorze Umowy etapy, to te wymienione w wytycznych prowadzenia czasowej organizacji ruchu. Jeżeli tak, to wykonawca zauważa dużą problematyczność takiego sposobu rozliczenia z uwagi na to, że: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- nie każdy zakres zadania do wykonania jest ujęty etapem COR – vide: wlot ul. Wakacyjnej,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- problem z fragmentarycznym rozliczeniem robót związanych z wykonaniem niektórych robót, np.: docelowej organizacji ruchu, zieleni, warstwy ścieralnej nawierzchni bitumicznej, etc.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- problem z rozliczeniem wykonania zad. nr 2: 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Budowa wlotu ul. Wakacyjnej</w:t>
      </w:r>
      <w:r w:rsidRPr="00DA761F">
        <w:rPr>
          <w:rFonts w:ascii="Times New Roman" w:eastAsia="Times New Roman" w:hAnsi="Times New Roman" w:cs="Times New Roman"/>
          <w:lang w:eastAsia="pl-PL"/>
        </w:rPr>
        <w:t>, które nie jest ujęte na schemacie podziału na etapy.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Wykonawca wnosi o zmianę w treści wzoru Umowy i wprowadzenie rozliczenia comiesięcznego w oparciu o obmiar wykonanych robót lub zgodnie z harmonogramem rzeczowo-finansowym sporządzonym przez wykonawcę.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Płatność będzie następowała zgodnie z wcześniejszym wyjaśnieniem tj.: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Płatności będą dokonywane po zakończeniu każdego etapu (wszystkich robót zawartych w obszarze danego etapu) zgodnie załącznikiem nr 9 - ETAPY TOR ( 4 płatności ), oraz po zakończeniu budowy wlotu ul. Wakacyjnej wraz z przejściem dla pieszych przez ul. Kolonijną ( 1 płatność ). Zamawiający dopuszcza płatność przed wykonaniem warstwy ścieralnej (dot. ETAP I, II, III) w przypadku, gdy warunki atmosferyczne uniemożliwią </w:t>
      </w: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lastRenderedPageBreak/>
        <w:t>wykonanie robót zgodnie z SST. Mając na uwadze powyższe wyjaśniamy, że płatność może być dokonana na podstawie maksymalnie 5 FV.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i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Sposób rozliczenia robót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zaniechanych/zamiennych</w:t>
      </w:r>
      <w:r w:rsidRPr="00DA761F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Pr="00DA761F">
        <w:rPr>
          <w:rFonts w:ascii="Times New Roman" w:eastAsia="Times New Roman" w:hAnsi="Times New Roman" w:cs="Times New Roman"/>
          <w:lang w:eastAsia="pl-PL"/>
        </w:rPr>
        <w:t>Zgodnie ze wzorem Umowy, § 6, ust. 13: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Wykonawcy”.</w:t>
      </w:r>
      <w:r w:rsidRPr="00DA761F">
        <w:rPr>
          <w:rFonts w:ascii="Times New Roman" w:eastAsia="Times New Roman" w:hAnsi="Times New Roman" w:cs="Times New Roman"/>
          <w:i/>
          <w:lang w:eastAsia="pl-PL"/>
        </w:rPr>
        <w:br/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lang w:eastAsia="pl-PL"/>
        </w:rPr>
        <w:tab/>
        <w:t>Wykonawca wnosi o potwierdzenie, że kosztorys ofertowy będzie mógł być wykonany metodą uproszczoną.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DA761F" w:rsidRPr="00DA761F" w:rsidRDefault="00DA761F" w:rsidP="00DA761F">
      <w:pPr>
        <w:spacing w:after="160" w:line="259" w:lineRule="auto"/>
        <w:ind w:left="720"/>
        <w:rPr>
          <w:rFonts w:ascii="Times New Roman" w:eastAsia="Times New Roman" w:hAnsi="Times New Roman" w:cs="Times New Roman"/>
          <w:i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  <w:t>Odp. Zamawiający potwierdza</w:t>
      </w: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Oznakowanie poziome / gwarancja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wzorem Umowy, §15 ust. 2: 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Termin gwarancji (…) na oznakowanie poziome cienkowarstwowe (…) wynosi 12 miesięcy licząc od daty odbioru końcowego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”.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lang w:eastAsia="pl-PL"/>
        </w:rPr>
        <w:tab/>
        <w:t xml:space="preserve">Wykonawca wnosi o potwierdzenie, że całość oznakowania poziomego ma być wykonane jako cienkowarstwowe.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Oznakowanie w zakresie nawierzchni jezdni bitumicznych należy wykonać jako grubowarstwowe – w pozostałym zakresie jako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cieńkowarstwowe</w:t>
      </w:r>
      <w:proofErr w:type="spellEnd"/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Zieleń / gwarancja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Wykonawca wnosi o wyłączenie zieleni (trawniki) z głównego zakresu gwarancji, tak jak poczyniono to z oznakowaniem poziomym.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Gwarancja na zieleń (trawniki) wynosi 1 rok od dnia odbioru</w:t>
      </w:r>
    </w:p>
    <w:p w:rsidR="00DA761F" w:rsidRPr="00DA761F" w:rsidRDefault="00DA761F" w:rsidP="00BD1530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Tymczasowa organizacja ruchu – TOR / uzgodnienie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wzorem Umowy, § 5, ust. 1: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Zamawiający przekaże plac budowy w terminie 14 dni od podpisania umowy</w:t>
      </w:r>
      <w:r w:rsidRPr="00DA761F">
        <w:rPr>
          <w:rFonts w:ascii="Times New Roman" w:eastAsia="Times New Roman" w:hAnsi="Times New Roman" w:cs="Times New Roman"/>
          <w:lang w:eastAsia="pl-PL"/>
        </w:rPr>
        <w:t>” oraz ust. 2: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Warunkiem przekazania placu budowy jest dostarczenie Zamawiającemu projektu tymczasowej organizacji ruchu na prowadzenie robót uzgodnionej przez Zarząd Dróg Gminnych w Żołędowie</w:t>
      </w:r>
      <w:r w:rsidRPr="00DA761F">
        <w:rPr>
          <w:rFonts w:ascii="Times New Roman" w:eastAsia="Times New Roman" w:hAnsi="Times New Roman" w:cs="Times New Roman"/>
          <w:lang w:eastAsia="pl-PL"/>
        </w:rPr>
        <w:t>”.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Wykonawca wnosi o potwierdzenie, że uzgadniającym projekt TOR będzie wyłącznie Zarząd Dróg Gminnych w Żołędowie.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TOR należy wykonać i uzgodnić zgodnie z </w:t>
      </w:r>
      <w:bookmarkStart w:id="0" w:name="_Hlk103246612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Rozporządzenie Ministra Infrastruktury z dnia 23 września 2003 r. w sprawie szczegółowych warunków zarządzania ruchem na drogach oraz wykonywania nadzoru nad tym zarządzaniem oraz warunkami narzuconymi przez Zamawiającego.</w:t>
      </w:r>
      <w:bookmarkEnd w:id="0"/>
    </w:p>
    <w:p w:rsidR="00DA761F" w:rsidRPr="00DA761F" w:rsidRDefault="00DA761F" w:rsidP="00DA76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Tymczasowa organizacja ruchu – TOR / wpływ terminu wydania uzgodnienia na termin wykonania zadania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Wykonawca wnosi o potwierdzenie, że zamawiający uwzględnił fakt braku wpływu Wykonawcy na czas wydania opinii i zatwierdzeń projektu TOR – tym samym nie będzie odpowiadać za opóźnienie wynikające z rozpoczęcia robót spowodowane wydłużającą się procedurą formalno-rzeczową </w:t>
      </w:r>
    </w:p>
    <w:p w:rsidR="00DA761F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To rolą Wykonawcy jest uwzględnienie wszelkich czynników mogących mieć wpływ na termin realizacji zadania oraz koszty z tym związane. Zamawiający zwraca uwagę że część robót można realizować bez TOR (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np.ETAP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Ia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)</w:t>
      </w:r>
    </w:p>
    <w:p w:rsidR="00677E87" w:rsidRPr="00DA761F" w:rsidRDefault="00677E87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Tymczasowa organizacja ruchu – TOR / projekt w wersji uproszczonej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Wykonawca wnosi o wskazanie, czy Zamawiający dopuści projekty TOR w formie uproszczonej na zakres robót </w:t>
      </w:r>
      <w:proofErr w:type="spellStart"/>
      <w:r w:rsidRPr="00DA761F">
        <w:rPr>
          <w:rFonts w:ascii="Times New Roman" w:eastAsia="Times New Roman" w:hAnsi="Times New Roman" w:cs="Times New Roman"/>
          <w:lang w:eastAsia="pl-PL"/>
        </w:rPr>
        <w:t>szybkopostępujących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>, np. wycinkę drzew.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TAK, przy zachowaniu wymagań Rozporządzenia Ministra Infrastruktury z dnia 23 września 2003 r. w sprawie szczegółowych warunków zarządzania ruchem na drogach oraz wykonywania nadzoru nad tym zarządzaniem oraz warunkami narzuconymi przez Zamawiającego.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Czasowa organizacja ruchu / różnice pomiędzy wytycznymi ogólnymi dot. projektu czasowej organizacji ruchu (zał. nr 8 do SWZ) a zapisami wzoru Umowy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lastRenderedPageBreak/>
        <w:t>Istnieją różnice pomiędzy wytycznymi dotyczącymi zasad wprowadzenia tymczasowej organizacji ruchu opisanymi w załączniku nr 8 do SWZ: „Wytycznymi ogólnymi dot. projektu czasowej organizacji ruchu”, a zapisami we wzorze Umowy - § 6, ust. 5.: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- „ETAP II i ETAP III można realizować po zakończeniu ETAP </w:t>
      </w:r>
      <w:proofErr w:type="spellStart"/>
      <w:r w:rsidRPr="00DA761F">
        <w:rPr>
          <w:rFonts w:ascii="Times New Roman" w:eastAsia="Times New Roman" w:hAnsi="Times New Roman" w:cs="Times New Roman"/>
          <w:i/>
          <w:lang w:eastAsia="pl-PL"/>
        </w:rPr>
        <w:t>Ia</w:t>
      </w:r>
      <w:proofErr w:type="spellEnd"/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 i ETAP I oraz po zapewnieniu dojazdu do firmy </w:t>
      </w:r>
      <w:proofErr w:type="spellStart"/>
      <w:r w:rsidRPr="00DA761F">
        <w:rPr>
          <w:rFonts w:ascii="Times New Roman" w:eastAsia="Times New Roman" w:hAnsi="Times New Roman" w:cs="Times New Roman"/>
          <w:i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 tymczasową drogą (utwardzoną kruszywem </w:t>
      </w:r>
      <w:r w:rsidRPr="00DA761F">
        <w:rPr>
          <w:rFonts w:ascii="Times New Roman" w:eastAsia="Times New Roman" w:hAnsi="Times New Roman" w:cs="Times New Roman"/>
          <w:i/>
          <w:color w:val="FF0000"/>
          <w:lang w:eastAsia="pl-PL"/>
        </w:rPr>
        <w:t>i utrzymywaną przez Wykonawcę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) od zachodu </w:t>
      </w:r>
      <w:r w:rsidRPr="00DA761F">
        <w:rPr>
          <w:rFonts w:ascii="Times New Roman" w:eastAsia="Times New Roman" w:hAnsi="Times New Roman" w:cs="Times New Roman"/>
          <w:i/>
          <w:color w:val="FF0000"/>
          <w:lang w:eastAsia="pl-PL"/>
        </w:rPr>
        <w:t>o parametrach zgodnych z załącznikiem”,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i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i/>
          <w:lang w:eastAsia="pl-PL"/>
        </w:rPr>
        <w:t>- „</w:t>
      </w:r>
      <w:r w:rsidRPr="00DA761F">
        <w:rPr>
          <w:rFonts w:ascii="Times New Roman" w:eastAsia="Times New Roman" w:hAnsi="Times New Roman" w:cs="Times New Roman"/>
          <w:i/>
          <w:color w:val="FF0000"/>
          <w:lang w:eastAsia="pl-PL"/>
        </w:rPr>
        <w:t xml:space="preserve">budowę wlotu ul. Wakacyjnej realizować po zakończeniu użytkowania objazdu do firmy </w:t>
      </w:r>
      <w:proofErr w:type="spellStart"/>
      <w:r w:rsidRPr="00DA761F">
        <w:rPr>
          <w:rFonts w:ascii="Times New Roman" w:eastAsia="Times New Roman" w:hAnsi="Times New Roman" w:cs="Times New Roman"/>
          <w:i/>
          <w:color w:val="FF0000"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i/>
          <w:color w:val="FF0000"/>
          <w:lang w:eastAsia="pl-PL"/>
        </w:rPr>
        <w:t xml:space="preserve"> przez pojazdy ciężarowe”.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Wykonawca: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3.1. wnosi o podanie parametrów drogi tymczasowej będącej dojazdem do firmy </w:t>
      </w:r>
      <w:proofErr w:type="spellStart"/>
      <w:r w:rsidRPr="00DA761F">
        <w:rPr>
          <w:rFonts w:ascii="Times New Roman" w:eastAsia="Times New Roman" w:hAnsi="Times New Roman" w:cs="Times New Roman"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 xml:space="preserve"> (w dokumentacji nie ma załącznika wymienionego w treści Umowy).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A) odtworzenie nawierzchni warstwą kruszywa (np. kruszywo łamane lub destrukt betonowy/asfaltowy 0/31 grubości 25cm: grubość warstwy 25cm,  E2&gt;160,  E2/E1&lt;2.2, Koryto E2&gt;80, ) -  w zakresie odtworzenia/uzupełnienia nawierzchni w obrębie istniejącej nawierzchni z kostki betonowej oraz płyt betonowych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B) wykonanie nawierzchni/drogi tymczasowej (połączenie ul. Wakacyjnej z placem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od strony zachodniej) z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np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z destruktu betonowego/asfaltowego lub  kruszywa łamanego grubości min 15cm o parametrach nośności umożliwiających przejazd pojazdów ciężarowych ( E2&gt;120MPa; E2/E1&lt;2,2 ) oraz parametrach geometrycznych na łukach zgodnie z załącznikami 1a oraz 1b - w załączeniu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3.2. wnosi o potwierdzenie, że utrzymanie drogi tymczasowej do firmy </w:t>
      </w:r>
      <w:proofErr w:type="spellStart"/>
      <w:r w:rsidRPr="00DA761F">
        <w:rPr>
          <w:rFonts w:ascii="Times New Roman" w:eastAsia="Times New Roman" w:hAnsi="Times New Roman" w:cs="Times New Roman"/>
          <w:lang w:eastAsia="pl-PL"/>
        </w:rPr>
        <w:t>Immobilen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 xml:space="preserve"> przez wykonawcę kończy się wraz z zakończeniem etapu II.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Zamawiający potwierdza, że po udostepnieniu dojazdu od strony wschodniej do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drogę tymczasową można będzie rozebrać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3.3. wnosi o wyjaśnienie, dlaczego rozpoczęcie budowy ul. Wakacyjnej jest uzależnione od zakończenia użytkowania objazdu do firmy </w:t>
      </w:r>
      <w:proofErr w:type="spellStart"/>
      <w:r w:rsidRPr="00DA761F">
        <w:rPr>
          <w:rFonts w:ascii="Times New Roman" w:eastAsia="Times New Roman" w:hAnsi="Times New Roman" w:cs="Times New Roman"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 xml:space="preserve"> przez pojazdy ciężarowe.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Zamawiający nie chce aby nowo wybudowany odcinek wlotu ul. Wakacyjnej (KR2) został obciążony/zniszczony  przez sprzęt budowy oraz pojazdy Wykonawcy wraz z ponadgabarytowymi pojazdami dostawców firmy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immobiliem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Czasowa organizacja ruchu / Wytyczne ogólne dot. projektu czasowej organizacji ruchu / Parking tymczasowy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 zapisami zał. 8 do SWZ należy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w obrębie (ETAPU I) realizowanych robót zapewnić/zorganizować tymczasowy parking z nawierzchnią umożliwiająca jego użytkowanie również po opadach deszczu oraz skomunikowanie go ciągami pieszymi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”; na rys. z zał. nr 9 zaznaczono, że parking ten ma znajdować się na działce: 43/32. </w:t>
      </w:r>
      <w:r w:rsidRPr="00DA761F">
        <w:rPr>
          <w:rFonts w:ascii="Times New Roman" w:eastAsia="Times New Roman" w:hAnsi="Times New Roman" w:cs="Times New Roman"/>
          <w:lang w:eastAsia="pl-PL"/>
        </w:rPr>
        <w:br/>
        <w:t xml:space="preserve">Wykonawca: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11.1. wnosi o jednoznaczne potwierdzenie, że Wykonawca będziesz miał do dyspozycji tę działkę i nie jest zobowiązany do skalkulowaniu w cenie oferty kosztów dzierżawy działki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Wykonawca jest zobowiązany wkalkulować w cenę oferty kosztów dzierżawy działki. Wskazana działka jest jedną z możliwych lokalizacji parkingu.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11.2. wnosi o wskazanie liczby miejsc parkingowych, które należy zapewnić lub podanie minimalnej powierzchni parkingu tymczasowego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30 miejsc postojowych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11.3. wnosi o wskazanie czasu, w którym będzie miał działać parking (tj. czy parking ma funkcjonować w całym okresie trwania budowy).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Parking ma funkcjonować do momentu udostepnienia dojazdu na posesje. Zamawiający dopuszcza zorganizowanie miejsc postojowych w różnych lokalizacjach zależnie od realizowanego przez Wykonawcę etapu. Parking należy zlokalizować w odległości nie większej niż 150m od posesji.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Czasowa organizacja ruchu / Wytyczne ogólne dot. projektu czasowej organizacji ruchu / ograniczenia w możliwości jednoczesnego wykonywania etapów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 zapisami zał. 8 do SWZ: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łączyć  można tylko ETAP I </w:t>
      </w:r>
      <w:proofErr w:type="spellStart"/>
      <w:r w:rsidRPr="00DA761F">
        <w:rPr>
          <w:rFonts w:ascii="Times New Roman" w:eastAsia="Times New Roman" w:hAnsi="Times New Roman" w:cs="Times New Roman"/>
          <w:i/>
          <w:lang w:eastAsia="pl-PL"/>
        </w:rPr>
        <w:t>i</w:t>
      </w:r>
      <w:proofErr w:type="spellEnd"/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 ETAP </w:t>
      </w:r>
      <w:proofErr w:type="spellStart"/>
      <w:r w:rsidRPr="00DA761F">
        <w:rPr>
          <w:rFonts w:ascii="Times New Roman" w:eastAsia="Times New Roman" w:hAnsi="Times New Roman" w:cs="Times New Roman"/>
          <w:i/>
          <w:lang w:eastAsia="pl-PL"/>
        </w:rPr>
        <w:t>Ia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 xml:space="preserve">”.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lang w:eastAsia="pl-PL"/>
        </w:rPr>
        <w:tab/>
        <w:t>Wykonawca wnosi o potwierdzenie, że zapis ten nie obejmuje zakresu związanego z zad. 2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Budowa wlotu ul. Wakacyjnej</w:t>
      </w:r>
      <w:r w:rsidRPr="00DA761F">
        <w:rPr>
          <w:rFonts w:ascii="Times New Roman" w:eastAsia="Times New Roman" w:hAnsi="Times New Roman" w:cs="Times New Roman"/>
          <w:lang w:eastAsia="pl-PL"/>
        </w:rPr>
        <w:t>”, który nie jest ujęty na schemacie podziału na etapy.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lastRenderedPageBreak/>
        <w:t xml:space="preserve">Odp. Wlot ul. Wakacyjnej należy realizować w takim etapie robót aby nie służył on jako dojazd technologiczny do robót oraz do firmy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Koordynacja robót z innymi inwestycjami</w:t>
      </w:r>
    </w:p>
    <w:p w:rsidR="00DA761F" w:rsidRPr="00DA761F" w:rsidRDefault="00DA761F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Wykonawca wnosi o wskazanie pełnej listy inwestycji, które będą prowadzone w sąsiedztwie planowanych zadań i które mogą wpływać pośredni lub bezpośrednio na procedury wykonania dokumentacji projektowej oraz sposób i terminy prowadzenia robót budowlanych. </w:t>
      </w:r>
    </w:p>
    <w:p w:rsidR="00DA761F" w:rsidRPr="00DA761F" w:rsidRDefault="00DA761F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Zamawiający nie prowadzi w sąsiedztwie zadań, które mogą mieć wpływ na przedmiotową inwestycję</w:t>
      </w:r>
    </w:p>
    <w:p w:rsidR="00DA761F" w:rsidRPr="00DA761F" w:rsidRDefault="00DA761F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Potwierdzenie kompletności dokumentacji projektowej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Wykonawca wnosi o potwierdzenie, że Zamawiający posiada kompletną dokumentację dla wszystkich zadań, w tym aktualne wszelkie niezbędne uzgodnienia i decyzje oraz projekt stałej organizacji ruchu.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Zamawiający potwierdza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Prace archeologiczne</w:t>
      </w:r>
      <w:r w:rsidRPr="00DA761F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Wykonawca wnosi o wskazanie, czy na terenie inwestycji są planowane wykopaliska oraz potwierdzenie, że zadanie nie obejmuje nadzoru archeologicznego. 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Zamawiający załącza decyzje o pozwoleniach na budowę, decyzje o zgodzie na realizację inwestycji drogowej oraz projekty wraz z wymaganymi uzgodnieniami i opiniami. Z załączonych dokumentów dot. poszczególnych zadań wynika jakie obowiązki spoczywają na Wykonawcy.</w:t>
      </w: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Wszystkie zadania /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Oznakowanie poziome / gwarancja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wzorem Umowy, §5 ust. 8: 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Wykonawca wykona szczegółową inwentaryzację fotograficzną terenów przyległych do przedmiotowej inwestycji oraz przekaże Zamawiającemu na nośniku elektronicznym w terminie do 14 dni od momentu przekazania terenu budowy</w:t>
      </w:r>
      <w:r w:rsidRPr="00DA761F">
        <w:rPr>
          <w:rFonts w:ascii="Times New Roman" w:eastAsia="Times New Roman" w:hAnsi="Times New Roman" w:cs="Times New Roman"/>
          <w:lang w:eastAsia="pl-PL"/>
        </w:rPr>
        <w:t>”.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ab/>
        <w:t>Wykonawca wnosi o wskazanie, co ma obejmować opisana we wzorze Umowy inwentaryzacja fotograficzna. Czy wystarczy dokumentacja dotycząca wyłącznie zewnętrznej części budynków/budowli znajdujących się w bezpośrednim sąsiedztwie zakresu objętego zadaniem?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Tak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Zadanie nr 2 / Opis przedmiotu zamówienia / zakres przejścia dla pieszych do wykonania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Załączona do przetargu dokumentacja projektowa składa się z dwóch części: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Budowa ul. Wakacyjnej w Osielsku</w:t>
      </w:r>
      <w:r w:rsidRPr="00DA761F">
        <w:rPr>
          <w:rFonts w:ascii="Times New Roman" w:eastAsia="Times New Roman" w:hAnsi="Times New Roman" w:cs="Times New Roman"/>
          <w:lang w:eastAsia="pl-PL"/>
        </w:rPr>
        <w:t>,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Przebudowa drogi powiatowej nr 1508C ul. Kolonijnej w zakresie wykonania przejścia dla pieszych</w:t>
      </w:r>
      <w:r w:rsidRPr="00DA761F">
        <w:rPr>
          <w:rFonts w:ascii="Times New Roman" w:eastAsia="Times New Roman" w:hAnsi="Times New Roman" w:cs="Times New Roman"/>
          <w:lang w:eastAsia="pl-PL"/>
        </w:rPr>
        <w:t>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lang w:eastAsia="pl-PL"/>
        </w:rPr>
        <w:tab/>
        <w:t>Zgodnie ze SWZ zadanie obejmuje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budowę wlotu ul. Wakacyjnej</w:t>
      </w:r>
      <w:r w:rsidRPr="00DA761F">
        <w:rPr>
          <w:rFonts w:ascii="Times New Roman" w:eastAsia="Times New Roman" w:hAnsi="Times New Roman" w:cs="Times New Roman"/>
          <w:lang w:eastAsia="pl-PL"/>
        </w:rPr>
        <w:t>”, a z wymienionego zakresu robót można domniemywać, że z zakresu wykonania przejścia dla pieszych przez ul. Kolonijną jest jedynie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obniżenie krawężnika i części chodnika po stronie południowej drogi powiatowej</w:t>
      </w:r>
      <w:r w:rsidRPr="00DA761F">
        <w:rPr>
          <w:rFonts w:ascii="Times New Roman" w:eastAsia="Times New Roman" w:hAnsi="Times New Roman" w:cs="Times New Roman"/>
          <w:lang w:eastAsia="pl-PL"/>
        </w:rPr>
        <w:t>”. Zapisy nie są jednoznaczne, dlatego Wykonawca: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18.1. wnosi o potwierdzenie, że z zakresu robót drogowych 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przejścia dla pieszych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 do wykonania są wyłącznie ww. roboty związane z korektą wysokościową chodnika. Jeżeli tak, to co z wykonaniem nowego fragmentu chodnika po stronie północnej?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Zakres obu zadań wynika jednoznacznie z projektów. Cześć chodnika jest ujęte w zakresie ul. Wakacyjnej a pozostała część w zakresie przejścia.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18.2. wnosi o wskazanie, czy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wykonanie oznakowania poziomego i pionowego” </w:t>
      </w:r>
      <w:r w:rsidRPr="00DA761F">
        <w:rPr>
          <w:rFonts w:ascii="Times New Roman" w:eastAsia="Times New Roman" w:hAnsi="Times New Roman" w:cs="Times New Roman"/>
          <w:lang w:eastAsia="pl-PL"/>
        </w:rPr>
        <w:t>dotyczy zakresu z obu części dokumentacji.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Tak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18.3. wnosi o potwierdzenie, że wykonanie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kanału technologicznego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” obejmuje wyłącznie zakres z 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budowy ul. Wakacyjnej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 (tj. zakres z 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przejścia dla pieszych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 jest poza zakresem zadania).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lastRenderedPageBreak/>
        <w:t>Odp. Budowa kanału technologicznego obejmuje zakres wszystkich zadań – zgodnie z załączonymi projektami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Zadanie nr 2 / Opis przedmiotu zamówienia / Zakres oświetlenia drogowego do wykonania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SWZ do wykonania w ramach zadania jest: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oświetlenie drogowe – 2 latarnie nr S1 i S3, linia kablowa i szafa oświetleniowa”. </w:t>
      </w:r>
      <w:r w:rsidRPr="00DA761F">
        <w:rPr>
          <w:rFonts w:ascii="Times New Roman" w:eastAsia="Times New Roman" w:hAnsi="Times New Roman" w:cs="Times New Roman"/>
          <w:lang w:eastAsia="pl-PL"/>
        </w:rPr>
        <w:t>Z uwagi, na fakt, że przedmiary robót mają charakter wyłącznie pomocniczy, wykonawca wnosi o przedstawienie korekty zakresu zadania wg tabeli (opis techniczny, pkt. 10) z Projektu Wykonawczego branży elektrycznej: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951" w:type="dxa"/>
        <w:tblLook w:val="04A0" w:firstRow="1" w:lastRow="0" w:firstColumn="1" w:lastColumn="0" w:noHBand="0" w:noVBand="1"/>
      </w:tblPr>
      <w:tblGrid>
        <w:gridCol w:w="596"/>
        <w:gridCol w:w="2919"/>
        <w:gridCol w:w="968"/>
        <w:gridCol w:w="962"/>
        <w:gridCol w:w="1353"/>
      </w:tblGrid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 xml:space="preserve">Materiał 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>Obmiar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>Producent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 xml:space="preserve">Linia kablowa </w:t>
            </w:r>
            <w:proofErr w:type="spellStart"/>
            <w:r w:rsidRPr="00DA761F">
              <w:rPr>
                <w:rFonts w:ascii="Times New Roman" w:eastAsia="CIDFont+F5" w:hAnsi="Times New Roman"/>
              </w:rPr>
              <w:t>YAKXs</w:t>
            </w:r>
            <w:proofErr w:type="spellEnd"/>
            <w:r w:rsidRPr="00DA761F">
              <w:rPr>
                <w:rFonts w:ascii="Times New Roman" w:eastAsia="CIDFont+F5" w:hAnsi="Times New Roman"/>
              </w:rPr>
              <w:t xml:space="preserve"> 4x35mm2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109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2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Przewód YDY 3x2,5mm2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30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3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IDFont+F5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Słup stalowy, ośmiokątny, h=8m, np. SO8/3/F160 z fundamentem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3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 xml:space="preserve">np. </w:t>
            </w:r>
            <w:proofErr w:type="spellStart"/>
            <w:r w:rsidRPr="00DA761F">
              <w:rPr>
                <w:rFonts w:ascii="Times New Roman" w:eastAsia="CIDFont+F5" w:hAnsi="Times New Roman"/>
              </w:rPr>
              <w:t>Elmonter</w:t>
            </w:r>
            <w:proofErr w:type="spellEnd"/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4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IDFont+F5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 xml:space="preserve">Oprawa oświetleniowa np. ISKRA </w:t>
            </w:r>
            <w:proofErr w:type="spellStart"/>
            <w:r w:rsidRPr="00DA761F">
              <w:rPr>
                <w:rFonts w:ascii="Times New Roman" w:eastAsia="CIDFont+F5" w:hAnsi="Times New Roman"/>
              </w:rPr>
              <w:t>led</w:t>
            </w:r>
            <w:proofErr w:type="spellEnd"/>
          </w:p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ALFA 36W 5000K T3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3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np. Rosa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5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Szafa oświetleniowa SO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6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Uziomy szpilkowe, l=3m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A761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276" w:type="dxa"/>
          </w:tcPr>
          <w:p w:rsidR="00DA761F" w:rsidRPr="00DA761F" w:rsidRDefault="00DA761F" w:rsidP="00DA761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IDFont+F5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np. Elko-Bis lub</w:t>
            </w:r>
          </w:p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równoważny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7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Izolacyjne złącza kablowe IZK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wg potrzeb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7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Rura osłonowa DVRØ110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2,5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9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Rura osłonowa DVKØ110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10,5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10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IDFont+F5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Materiały pomocnicze : np. folia, opaski, piasek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wg potrzeb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eastAsia="CIDFont+F5" w:hAnsi="Times New Roman"/>
              </w:rPr>
              <w:t>Dowolny</w:t>
            </w:r>
          </w:p>
        </w:tc>
      </w:tr>
    </w:tbl>
    <w:p w:rsidR="00DA761F" w:rsidRPr="00DA761F" w:rsidRDefault="00DA761F" w:rsidP="00DA761F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DA761F" w:rsidRDefault="00DA761F" w:rsidP="00DA761F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Poniżej skorygowane zestawienie materiałów.</w:t>
      </w:r>
    </w:p>
    <w:tbl>
      <w:tblPr>
        <w:tblStyle w:val="Tabela-Siatka1"/>
        <w:tblW w:w="0" w:type="auto"/>
        <w:tblInd w:w="1951" w:type="dxa"/>
        <w:tblLook w:val="04A0" w:firstRow="1" w:lastRow="0" w:firstColumn="1" w:lastColumn="0" w:noHBand="0" w:noVBand="1"/>
      </w:tblPr>
      <w:tblGrid>
        <w:gridCol w:w="596"/>
        <w:gridCol w:w="2919"/>
        <w:gridCol w:w="968"/>
        <w:gridCol w:w="962"/>
        <w:gridCol w:w="1353"/>
      </w:tblGrid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DA761F">
              <w:rPr>
                <w:rFonts w:ascii="Times New Roman" w:hAnsi="Times New Roman"/>
                <w:b/>
                <w:color w:val="FF0000"/>
              </w:rPr>
              <w:t>L.p.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b/>
                <w:color w:val="FF0000"/>
              </w:rPr>
            </w:pPr>
            <w:r w:rsidRPr="00DA761F">
              <w:rPr>
                <w:rFonts w:ascii="Times New Roman" w:hAnsi="Times New Roman"/>
                <w:b/>
                <w:color w:val="FF0000"/>
              </w:rPr>
              <w:t xml:space="preserve">Materiał 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DA761F">
              <w:rPr>
                <w:rFonts w:ascii="Times New Roman" w:hAnsi="Times New Roman"/>
                <w:b/>
                <w:color w:val="FF0000"/>
              </w:rPr>
              <w:t>Ilość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DA761F">
              <w:rPr>
                <w:rFonts w:ascii="Times New Roman" w:hAnsi="Times New Roman"/>
                <w:b/>
                <w:color w:val="FF0000"/>
              </w:rPr>
              <w:t>Obmiar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DA761F">
              <w:rPr>
                <w:rFonts w:ascii="Times New Roman" w:hAnsi="Times New Roman"/>
                <w:b/>
                <w:color w:val="FF0000"/>
              </w:rPr>
              <w:t>Producent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 xml:space="preserve">Linia kablowa </w:t>
            </w:r>
            <w:proofErr w:type="spellStart"/>
            <w:r w:rsidRPr="00DA761F">
              <w:rPr>
                <w:rFonts w:ascii="Times New Roman" w:eastAsia="CIDFont+F5" w:hAnsi="Times New Roman"/>
                <w:color w:val="FF0000"/>
              </w:rPr>
              <w:t>YAKXs</w:t>
            </w:r>
            <w:proofErr w:type="spellEnd"/>
            <w:r w:rsidRPr="00DA761F">
              <w:rPr>
                <w:rFonts w:ascii="Times New Roman" w:eastAsia="CIDFont+F5" w:hAnsi="Times New Roman"/>
                <w:color w:val="FF0000"/>
              </w:rPr>
              <w:t xml:space="preserve"> 4x35mm2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109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m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Przewód YDY 3x2,5mm2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20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m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IDFont+F5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Słup stalowy, ośmiokątny, h=8m, np. SO8/3/F160 z fundamentem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 xml:space="preserve">np. </w:t>
            </w:r>
            <w:proofErr w:type="spellStart"/>
            <w:r w:rsidRPr="00DA761F">
              <w:rPr>
                <w:rFonts w:ascii="Times New Roman" w:eastAsia="CIDFont+F5" w:hAnsi="Times New Roman"/>
                <w:color w:val="FF0000"/>
              </w:rPr>
              <w:t>Elmonter</w:t>
            </w:r>
            <w:proofErr w:type="spellEnd"/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IDFont+F5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 xml:space="preserve">Oprawa oświetleniowa np. ISKRA </w:t>
            </w:r>
            <w:proofErr w:type="spellStart"/>
            <w:r w:rsidRPr="00DA761F">
              <w:rPr>
                <w:rFonts w:ascii="Times New Roman" w:eastAsia="CIDFont+F5" w:hAnsi="Times New Roman"/>
                <w:color w:val="FF0000"/>
              </w:rPr>
              <w:t>led</w:t>
            </w:r>
            <w:proofErr w:type="spellEnd"/>
          </w:p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ALFA 36W 5000K T3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np. Rosa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Szafa oświetleniowa SO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lastRenderedPageBreak/>
              <w:t>6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Uziomy szpilkowe, l=3m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1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DA761F">
              <w:rPr>
                <w:rFonts w:ascii="Times New Roman" w:hAnsi="Times New Roman"/>
                <w:color w:val="FF0000"/>
              </w:rPr>
              <w:t>kpl</w:t>
            </w:r>
            <w:proofErr w:type="spellEnd"/>
          </w:p>
        </w:tc>
        <w:tc>
          <w:tcPr>
            <w:tcW w:w="1276" w:type="dxa"/>
          </w:tcPr>
          <w:p w:rsidR="00DA761F" w:rsidRPr="00DA761F" w:rsidRDefault="00DA761F" w:rsidP="00DA761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IDFont+F5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np. Elko-Bis lub</w:t>
            </w:r>
          </w:p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równoważny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Izolacyjne złącza kablowe IZK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wg potrzeb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Rura osłonowa DVRØ110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2,5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m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9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Rura osłonowa DVKØ110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10,5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m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Dowolny</w:t>
            </w:r>
          </w:p>
        </w:tc>
      </w:tr>
      <w:tr w:rsidR="00DA761F" w:rsidRPr="00DA761F" w:rsidTr="005B341C">
        <w:tc>
          <w:tcPr>
            <w:tcW w:w="48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10</w:t>
            </w:r>
          </w:p>
        </w:tc>
        <w:tc>
          <w:tcPr>
            <w:tcW w:w="2919" w:type="dxa"/>
          </w:tcPr>
          <w:p w:rsidR="00DA761F" w:rsidRPr="00DA761F" w:rsidRDefault="00DA761F" w:rsidP="00DA761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IDFont+F5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Materiały pomocnicze : np. folia, opaski, piasek</w:t>
            </w:r>
          </w:p>
        </w:tc>
        <w:tc>
          <w:tcPr>
            <w:tcW w:w="968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wg potrzeb</w:t>
            </w:r>
          </w:p>
        </w:tc>
        <w:tc>
          <w:tcPr>
            <w:tcW w:w="733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hAnsi="Times New Roman"/>
                <w:color w:val="FF0000"/>
              </w:rPr>
              <w:t>szt.</w:t>
            </w:r>
          </w:p>
        </w:tc>
        <w:tc>
          <w:tcPr>
            <w:tcW w:w="127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color w:val="FF0000"/>
              </w:rPr>
            </w:pPr>
            <w:r w:rsidRPr="00DA761F">
              <w:rPr>
                <w:rFonts w:ascii="Times New Roman" w:eastAsia="CIDFont+F5" w:hAnsi="Times New Roman"/>
                <w:color w:val="FF0000"/>
              </w:rPr>
              <w:t>Dowolny</w:t>
            </w:r>
          </w:p>
        </w:tc>
      </w:tr>
    </w:tbl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 xml:space="preserve">Opis przedmiotu zamówienia / Zadanie nr 3 / ilość wpustów deszczowych i </w:t>
      </w:r>
      <w:proofErr w:type="spellStart"/>
      <w:r w:rsidRPr="00DA761F">
        <w:rPr>
          <w:rFonts w:ascii="Times New Roman" w:eastAsia="Times New Roman" w:hAnsi="Times New Roman" w:cs="Times New Roman"/>
          <w:b/>
          <w:lang w:eastAsia="pl-PL"/>
        </w:rPr>
        <w:t>przykanalików</w:t>
      </w:r>
      <w:proofErr w:type="spellEnd"/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SWZ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w wycenie nie należy uwzględniać wyceny wpustów deszczowych (W1; oraz W3 do W10) oraz </w:t>
      </w:r>
      <w:proofErr w:type="spellStart"/>
      <w:r w:rsidRPr="00DA761F">
        <w:rPr>
          <w:rFonts w:ascii="Times New Roman" w:eastAsia="Times New Roman" w:hAnsi="Times New Roman" w:cs="Times New Roman"/>
          <w:i/>
          <w:lang w:eastAsia="pl-PL"/>
        </w:rPr>
        <w:t>przykanalikami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 xml:space="preserve">”. Z uwagi, na fakt, że przedmiary robót mają charakter wyłącznie pomocniczy, wykonawca wnosi o przedstawienie korekty zakresu zadania wg tabeli (opis techniczny, pkt. 6) z Projektu Budowlanego branży </w:t>
      </w:r>
      <w:proofErr w:type="spellStart"/>
      <w:r w:rsidRPr="00DA761F">
        <w:rPr>
          <w:rFonts w:ascii="Times New Roman" w:eastAsia="Times New Roman" w:hAnsi="Times New Roman" w:cs="Times New Roman"/>
          <w:lang w:eastAsia="pl-PL"/>
        </w:rPr>
        <w:t>wod-kan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2235" w:type="dxa"/>
        <w:tblLook w:val="04A0" w:firstRow="1" w:lastRow="0" w:firstColumn="1" w:lastColumn="0" w:noHBand="0" w:noVBand="1"/>
      </w:tblPr>
      <w:tblGrid>
        <w:gridCol w:w="596"/>
        <w:gridCol w:w="3206"/>
        <w:gridCol w:w="1159"/>
      </w:tblGrid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 xml:space="preserve">Materiał 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>Ilość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A761F">
              <w:rPr>
                <w:rFonts w:ascii="Times New Roman" w:hAnsi="Times New Roman"/>
                <w:lang w:val="en-US"/>
              </w:rPr>
              <w:t>rura</w:t>
            </w:r>
            <w:proofErr w:type="spellEnd"/>
            <w:r w:rsidRPr="00DA761F">
              <w:rPr>
                <w:rFonts w:ascii="Times New Roman" w:hAnsi="Times New Roman"/>
                <w:lang w:val="en-US"/>
              </w:rPr>
              <w:t xml:space="preserve"> PVC315x9,2 (SN=8kN/m2)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306,5 m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2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A761F">
              <w:rPr>
                <w:rFonts w:ascii="Times New Roman" w:hAnsi="Times New Roman"/>
                <w:lang w:val="en-US"/>
              </w:rPr>
              <w:t>rura</w:t>
            </w:r>
            <w:proofErr w:type="spellEnd"/>
            <w:r w:rsidRPr="00DA761F">
              <w:rPr>
                <w:rFonts w:ascii="Times New Roman" w:hAnsi="Times New Roman"/>
                <w:lang w:val="en-US"/>
              </w:rPr>
              <w:t xml:space="preserve"> PVC250x7,3 (SN=8kN/m2)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151,0 m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3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DA761F">
              <w:rPr>
                <w:rFonts w:ascii="Times New Roman" w:hAnsi="Times New Roman"/>
                <w:lang w:val="en-US"/>
              </w:rPr>
              <w:t>rura</w:t>
            </w:r>
            <w:proofErr w:type="spellEnd"/>
            <w:r w:rsidRPr="00DA761F">
              <w:rPr>
                <w:rFonts w:ascii="Times New Roman" w:hAnsi="Times New Roman"/>
                <w:lang w:val="en-US"/>
              </w:rPr>
              <w:t xml:space="preserve"> PVC200x5,9 (SN=8kN/m2)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166,5 m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4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rura WIPRO żelbetowa DN1000 mm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889,0 m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5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rura </w:t>
            </w:r>
            <w:proofErr w:type="spellStart"/>
            <w:r w:rsidRPr="00DA761F">
              <w:rPr>
                <w:rFonts w:ascii="Times New Roman" w:hAnsi="Times New Roman"/>
              </w:rPr>
              <w:t>przeciskowa</w:t>
            </w:r>
            <w:proofErr w:type="spellEnd"/>
            <w:r w:rsidRPr="00DA761F">
              <w:rPr>
                <w:rFonts w:ascii="Times New Roman" w:hAnsi="Times New Roman"/>
              </w:rPr>
              <w:t xml:space="preserve"> żelbetowa DN1000 mm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 71,5 m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6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Studnia PEHD 630mm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   4 szt.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7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Studnia DN1200 mm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   8 szt.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8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Studnia DN1500 mm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  15 szt.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9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Studnia DN2500 mm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   2 szt.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10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Wpust uliczny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  24 szt.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11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Separator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   1 szt.</w:t>
            </w:r>
          </w:p>
        </w:tc>
      </w:tr>
      <w:tr w:rsidR="00DA761F" w:rsidRPr="00DA761F" w:rsidTr="00BD1530">
        <w:tc>
          <w:tcPr>
            <w:tcW w:w="596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12</w:t>
            </w:r>
          </w:p>
        </w:tc>
        <w:tc>
          <w:tcPr>
            <w:tcW w:w="3206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Osadnik</w:t>
            </w:r>
          </w:p>
        </w:tc>
        <w:tc>
          <w:tcPr>
            <w:tcW w:w="1159" w:type="dxa"/>
          </w:tcPr>
          <w:p w:rsidR="00DA761F" w:rsidRPr="00DA761F" w:rsidRDefault="00DA761F" w:rsidP="00DA761F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   1 szt.</w:t>
            </w:r>
          </w:p>
        </w:tc>
      </w:tr>
    </w:tbl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ab/>
      </w:r>
      <w:r w:rsidRPr="00DA761F">
        <w:rPr>
          <w:rFonts w:ascii="Times New Roman" w:eastAsia="Times New Roman" w:hAnsi="Times New Roman" w:cs="Times New Roman"/>
          <w:lang w:eastAsia="pl-PL"/>
        </w:rPr>
        <w:tab/>
        <w:t>Całkowita długość sieci – 1584,5 m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Realizowany w tym etapie zakres został szczegółowo opisany w § 1 Zadanie 3 – wzoru umowy oraz SWZ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Opis przedmiotu zamówienia / Zadanie nr 3 / kanał technologiczny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SWZ, w ramach zadania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należy uwzględnić wykonanie odcinka kanału teletechnicznego w zakresie od studni s-1 do studni s-2 wraz z odcinkiem </w:t>
      </w:r>
      <w:proofErr w:type="spellStart"/>
      <w:r w:rsidRPr="00DA761F">
        <w:rPr>
          <w:rFonts w:ascii="Times New Roman" w:eastAsia="Times New Roman" w:hAnsi="Times New Roman" w:cs="Times New Roman"/>
          <w:i/>
          <w:lang w:eastAsia="pl-PL"/>
        </w:rPr>
        <w:t>Ktp</w:t>
      </w:r>
      <w:proofErr w:type="spellEnd"/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 26m</w:t>
      </w:r>
      <w:r w:rsidRPr="00DA761F">
        <w:rPr>
          <w:rFonts w:ascii="Times New Roman" w:eastAsia="Times New Roman" w:hAnsi="Times New Roman" w:cs="Times New Roman"/>
          <w:lang w:eastAsia="pl-PL"/>
        </w:rPr>
        <w:t>”. Wykonawca wnosi o przedłożenie dokumentacji projektowej na ten zakres.</w:t>
      </w:r>
    </w:p>
    <w:p w:rsid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color w:val="FF0000"/>
          <w:lang w:eastAsia="pl-PL"/>
        </w:rPr>
        <w:t>Odp. Załączono</w:t>
      </w:r>
    </w:p>
    <w:p w:rsidR="00677E87" w:rsidRDefault="00677E87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677E87" w:rsidRDefault="00677E87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677E87" w:rsidRPr="00DA761F" w:rsidRDefault="00677E87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lastRenderedPageBreak/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Opis przedmiotu zamówienia / Zadanie nr 3 / rozbiórka ogrodzeń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SWZ, w ramach zadania należy wykonać rozbiórkę ogrodzeń. Wykonawca wnosi o wskazanie ilości i rodzajów ogrodzenia przewidzianego do rozbiórki w podziale na zadanie. Czy w cenie oferty należy uwzględnić także odtworzenie ogrodzenia?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Odp. Zakres rozbiórki ogrodzeń zależy od sposobu prowadzenia prac przy budowie odwodnienia – od szerokości wykopu. Odtworzenie ogrodzenia nie jest wymagane.  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Opis przedmiotu zamówienia / Zadanie nr 3 / zakres odtworzenia nawierzchni ulicy Księżycowej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SWZ, w ramach zadania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należy uwzględnić odtworzenie nawierzchni ulicy Księżycowej po robotach związanych z budowa odcinka kanalizacji deszczowej – od studni D7 do wlotu ul. Słonecznej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”. W dokumentacji znajdują się przedmiary robót wyłącznie na „odtworzenie nawierzchni na dz. 27/20 po wykonaniu robót instalacyjnych” oraz „nawierzchnia drogi od ulicy Słonecznej do działki o nr 331”. Wykonawca wnosi o pomocnicze przedłożenie przedmiaru robót na ten zakres.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Należy przyjąć konstrukcję: 15cm C3/4, 20cm C12/15, 4cm podsypka 1:4, kostka z rozbiórki. Powierzchnię należy oszacować zależnie od technologii zabezpieczenia skarp wykopu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Opis przedmiotu zamówienia / Zadanie nr 4 / długość rurociągu rurociąg PE Ø160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Wykonawca wnosi o potwierdzenie, że do wykonania w ramach zadania jest 1349,0 m rurociągu PE Ø160.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Zgodnie z załączonym na stronie:  KANALIZACJA PRZEDMIAR PO ZMIANIE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Opis przedmiotu zamówienia / Zadanie nr 4 / dodatkowy zakres do uwzględnienia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ze SWZ, w ramach zadania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>dodatkowo należy uwzględnić: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761F">
        <w:rPr>
          <w:rFonts w:ascii="Times New Roman" w:eastAsia="Times New Roman" w:hAnsi="Times New Roman" w:cs="Times New Roman"/>
          <w:i/>
          <w:lang w:eastAsia="pl-PL"/>
        </w:rPr>
        <w:t>- wstawienie po dwie dodatkowe zasuwy DN150 w studniach S2, S3, S4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i/>
          <w:lang w:eastAsia="pl-PL"/>
        </w:rPr>
        <w:t>- studnia spustowa DN 1200mm – 2 szt. (wstawić te dwie dodatkowe studnie w miejscach wskazanych przez zamawiającego)</w:t>
      </w:r>
      <w:r w:rsidRPr="00DA761F">
        <w:rPr>
          <w:rFonts w:ascii="Times New Roman" w:eastAsia="Times New Roman" w:hAnsi="Times New Roman" w:cs="Times New Roman"/>
          <w:lang w:eastAsia="pl-PL"/>
        </w:rPr>
        <w:t>”.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ab/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Wykonawca wnosi o podanie miejsca wstawienia studni spustowych. Podany powyżej zapis jest niewystarczający </w:t>
      </w:r>
      <w:r w:rsidRPr="00DA761F">
        <w:rPr>
          <w:rFonts w:ascii="Times New Roman" w:eastAsia="Times New Roman" w:hAnsi="Times New Roman" w:cs="Times New Roman"/>
          <w:lang w:eastAsia="pl-PL"/>
        </w:rPr>
        <w:br/>
        <w:t>do określenia kosztów wykonania opisanych robót (brak np. możliwość skalkulowania kosztów rozbiórki/odbudowy nawierzchni).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Inwestor podtrzymuje iż ustalenie lokalizacje studni nastąpi na etapie budowy, a kalkulacja kosztów rozbiórki/odbudowy zgodnie z załączonymi na stronie: przedmiarami</w:t>
      </w:r>
    </w:p>
    <w:p w:rsidR="00DA761F" w:rsidRPr="00DA761F" w:rsidRDefault="00DA761F" w:rsidP="00DA761F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Specyfikacje techniczne</w:t>
      </w:r>
      <w:r w:rsidRPr="00DA761F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Zgodnie z zapisami wzoru Umowy: § 8, ust. 3: „</w:t>
      </w:r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Roboty wykonane zostaną zgodnie z dokumentacją projektową, specyfikacjami technicznymi wykonania i odbioru robót budowlanych dołączonymi przez Zamawiającego (a w przypadku ich braku zgodnie ze specyfikacjami technicznymi wykonania i odbioru robót wydanymi przez </w:t>
      </w:r>
      <w:proofErr w:type="spellStart"/>
      <w:r w:rsidRPr="00DA761F">
        <w:rPr>
          <w:rFonts w:ascii="Times New Roman" w:eastAsia="Times New Roman" w:hAnsi="Times New Roman" w:cs="Times New Roman"/>
          <w:i/>
          <w:lang w:eastAsia="pl-PL"/>
        </w:rPr>
        <w:t>GDDKiA</w:t>
      </w:r>
      <w:proofErr w:type="spellEnd"/>
      <w:r w:rsidRPr="00DA761F">
        <w:rPr>
          <w:rFonts w:ascii="Times New Roman" w:eastAsia="Times New Roman" w:hAnsi="Times New Roman" w:cs="Times New Roman"/>
          <w:i/>
          <w:lang w:eastAsia="pl-PL"/>
        </w:rPr>
        <w:t xml:space="preserve">)”. </w:t>
      </w:r>
    </w:p>
    <w:p w:rsidR="00DA761F" w:rsidRPr="00DA761F" w:rsidRDefault="00DA761F" w:rsidP="00DA761F">
      <w:pPr>
        <w:spacing w:after="0" w:line="259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761F">
        <w:rPr>
          <w:rFonts w:ascii="Times New Roman" w:eastAsia="Times New Roman" w:hAnsi="Times New Roman" w:cs="Times New Roman"/>
          <w:lang w:eastAsia="pl-PL"/>
        </w:rPr>
        <w:tab/>
        <w:t xml:space="preserve">Wykonawca wnosi o potwierdzenie, że specyfikacje techniczne na zakres zadania nr 4, tj. budowa sieci wodociągowej oraz budowa kanalizacji sanitarnej ma być zrealizowany w oparciu o </w:t>
      </w:r>
      <w:proofErr w:type="spellStart"/>
      <w:r w:rsidRPr="00DA761F">
        <w:rPr>
          <w:rFonts w:ascii="Times New Roman" w:eastAsia="Times New Roman" w:hAnsi="Times New Roman" w:cs="Times New Roman"/>
          <w:lang w:eastAsia="pl-PL"/>
        </w:rPr>
        <w:t>STWiORB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 xml:space="preserve"> wydane przez </w:t>
      </w:r>
      <w:proofErr w:type="spellStart"/>
      <w:r w:rsidRPr="00DA761F">
        <w:rPr>
          <w:rFonts w:ascii="Times New Roman" w:eastAsia="Times New Roman" w:hAnsi="Times New Roman" w:cs="Times New Roman"/>
          <w:lang w:eastAsia="pl-PL"/>
        </w:rPr>
        <w:t>GDDKiA</w:t>
      </w:r>
      <w:proofErr w:type="spellEnd"/>
      <w:r w:rsidRPr="00DA761F">
        <w:rPr>
          <w:rFonts w:ascii="Times New Roman" w:eastAsia="Times New Roman" w:hAnsi="Times New Roman" w:cs="Times New Roman"/>
          <w:lang w:eastAsia="pl-PL"/>
        </w:rPr>
        <w:t>.</w:t>
      </w:r>
    </w:p>
    <w:p w:rsidR="00DA761F" w:rsidRPr="00BD1530" w:rsidRDefault="00DA761F" w:rsidP="00677E87">
      <w:pPr>
        <w:spacing w:after="0" w:line="240" w:lineRule="auto"/>
        <w:ind w:left="709" w:firstLine="11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Załączono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sst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na kanalizacje tłoczną. SST dot. wodociągu zawarte są w projekcie ul. Słonecznej</w:t>
      </w:r>
    </w:p>
    <w:p w:rsidR="00BD1530" w:rsidRPr="00DA761F" w:rsidRDefault="00BD1530" w:rsidP="00DA761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Zagospodarowanie materiałów z rozbiórki</w:t>
      </w:r>
    </w:p>
    <w:p w:rsidR="00DA761F" w:rsidRDefault="00DA761F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Wykonawca wnosi o potwierdzenie poprawności założeń przyjętych względem materiałów z rozbiórki:</w:t>
      </w:r>
    </w:p>
    <w:p w:rsidR="00677E87" w:rsidRDefault="00677E87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77E87" w:rsidRDefault="00677E87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77E87" w:rsidRPr="00DA761F" w:rsidRDefault="00677E87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tbl>
      <w:tblPr>
        <w:tblStyle w:val="Tabela-Siatka1"/>
        <w:tblW w:w="6977" w:type="dxa"/>
        <w:jc w:val="center"/>
        <w:tblInd w:w="2518" w:type="dxa"/>
        <w:tblLook w:val="04A0" w:firstRow="1" w:lastRow="0" w:firstColumn="1" w:lastColumn="0" w:noHBand="0" w:noVBand="1"/>
      </w:tblPr>
      <w:tblGrid>
        <w:gridCol w:w="596"/>
        <w:gridCol w:w="3275"/>
        <w:gridCol w:w="3106"/>
      </w:tblGrid>
      <w:tr w:rsidR="00DA761F" w:rsidRPr="00DA761F" w:rsidTr="005B341C">
        <w:trPr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lastRenderedPageBreak/>
              <w:t>L.p.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>Materiał z rozbiórki</w:t>
            </w:r>
          </w:p>
        </w:tc>
        <w:tc>
          <w:tcPr>
            <w:tcW w:w="3118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DA761F">
              <w:rPr>
                <w:rFonts w:ascii="Times New Roman" w:hAnsi="Times New Roman"/>
                <w:b/>
              </w:rPr>
              <w:t xml:space="preserve">Sposób postępowania z materiałem </w:t>
            </w:r>
            <w:r w:rsidRPr="00DA761F">
              <w:rPr>
                <w:rFonts w:ascii="Times New Roman" w:hAnsi="Times New Roman"/>
                <w:b/>
              </w:rPr>
              <w:br/>
              <w:t>z rozbiórki</w:t>
            </w:r>
          </w:p>
        </w:tc>
      </w:tr>
      <w:tr w:rsidR="00DA761F" w:rsidRPr="00DA761F" w:rsidTr="005B341C">
        <w:trPr>
          <w:trHeight w:val="686"/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1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Zakres pozycji z przedmiarów robót  dotyczących rozbiórek, z dopiskiem „do ponownego ułożenia” </w:t>
            </w:r>
          </w:p>
        </w:tc>
        <w:tc>
          <w:tcPr>
            <w:tcW w:w="3118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Przedmiary robót mają charakter wyłącznie pomocniczy – obowiązuje zapis ze wzoru Umowy, § 8, ust. 1 „</w:t>
            </w:r>
            <w:r w:rsidRPr="00DA761F">
              <w:rPr>
                <w:rFonts w:ascii="Times New Roman" w:hAnsi="Times New Roman"/>
                <w:i/>
              </w:rPr>
              <w:t>Wykonawca zobowiązuje się wykonać przedmiot umowy z materiałów własnych”</w:t>
            </w:r>
            <w:r w:rsidRPr="00DA761F">
              <w:rPr>
                <w:rFonts w:ascii="Times New Roman" w:hAnsi="Times New Roman"/>
              </w:rPr>
              <w:t xml:space="preserve"> – brak możliwości użycia materiałów z wcześniejszej rozbiórki </w:t>
            </w:r>
          </w:p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DA761F" w:rsidRPr="00DA761F" w:rsidTr="005B341C">
        <w:trPr>
          <w:trHeight w:val="686"/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2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Materiał z rozbiórki warstw bitumicznych</w:t>
            </w:r>
          </w:p>
        </w:tc>
        <w:tc>
          <w:tcPr>
            <w:tcW w:w="3118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SWZ, cz. II: „</w:t>
            </w:r>
            <w:r w:rsidRPr="00DA761F">
              <w:rPr>
                <w:rFonts w:ascii="Times New Roman" w:hAnsi="Times New Roman"/>
                <w:i/>
              </w:rPr>
              <w:t>niezależnie od innych zapisów, cały destrukt pozostaje własnością zamawiającego”</w:t>
            </w:r>
          </w:p>
        </w:tc>
      </w:tr>
      <w:tr w:rsidR="00DA761F" w:rsidRPr="00DA761F" w:rsidTr="005B341C">
        <w:trPr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3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Materiał z rozbiórki podbudowy istniejącej konstrukcji</w:t>
            </w:r>
          </w:p>
        </w:tc>
        <w:tc>
          <w:tcPr>
            <w:tcW w:w="3118" w:type="dxa"/>
            <w:vMerge w:val="restart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 xml:space="preserve">Usunięcie lub utylizacja na koszt wykonawcy – zgodnie ze wzorem Umowy, </w:t>
            </w:r>
            <w:r w:rsidRPr="00DA761F">
              <w:rPr>
                <w:rFonts w:ascii="Times New Roman" w:hAnsi="Times New Roman"/>
              </w:rPr>
              <w:br/>
              <w:t>§ 6, ust. 11</w:t>
            </w:r>
          </w:p>
        </w:tc>
      </w:tr>
      <w:tr w:rsidR="00DA761F" w:rsidRPr="00DA761F" w:rsidTr="005B341C">
        <w:trPr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4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Materiał z rozbiórki krawężników, oporników i obrzeży</w:t>
            </w:r>
          </w:p>
        </w:tc>
        <w:tc>
          <w:tcPr>
            <w:tcW w:w="3118" w:type="dxa"/>
            <w:vMerge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A761F" w:rsidRPr="00DA761F" w:rsidTr="005B341C">
        <w:trPr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5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Słupki i znaki drogowe z rozbiórki</w:t>
            </w:r>
          </w:p>
        </w:tc>
        <w:tc>
          <w:tcPr>
            <w:tcW w:w="3118" w:type="dxa"/>
            <w:vMerge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A761F" w:rsidRPr="00DA761F" w:rsidTr="005B341C">
        <w:trPr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6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Materiał z rozbiórki ogrodzeń</w:t>
            </w:r>
          </w:p>
        </w:tc>
        <w:tc>
          <w:tcPr>
            <w:tcW w:w="3118" w:type="dxa"/>
            <w:vMerge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A761F" w:rsidRPr="00DA761F" w:rsidTr="005B341C">
        <w:trPr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7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Płyty drogowe z rozbiórki</w:t>
            </w:r>
          </w:p>
        </w:tc>
        <w:tc>
          <w:tcPr>
            <w:tcW w:w="3118" w:type="dxa"/>
            <w:vMerge w:val="restart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i/>
              </w:rPr>
            </w:pPr>
            <w:r w:rsidRPr="00DA761F">
              <w:rPr>
                <w:rFonts w:ascii="Times New Roman" w:hAnsi="Times New Roman"/>
                <w:i/>
              </w:rPr>
              <w:t>Zgodnie z SWZ: „Płyty i kostkę ułożoną na paletach należy przetransportować na plac GZK, Maksymilianowo, ul. Bluszczowa”</w:t>
            </w:r>
          </w:p>
        </w:tc>
      </w:tr>
      <w:tr w:rsidR="00DA761F" w:rsidRPr="00DA761F" w:rsidTr="005B341C">
        <w:trPr>
          <w:jc w:val="center"/>
        </w:trPr>
        <w:tc>
          <w:tcPr>
            <w:tcW w:w="567" w:type="dxa"/>
          </w:tcPr>
          <w:p w:rsidR="00DA761F" w:rsidRPr="00DA761F" w:rsidRDefault="00DA761F" w:rsidP="00DA761F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8</w:t>
            </w:r>
          </w:p>
        </w:tc>
        <w:tc>
          <w:tcPr>
            <w:tcW w:w="3292" w:type="dxa"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</w:rPr>
            </w:pPr>
            <w:r w:rsidRPr="00DA761F">
              <w:rPr>
                <w:rFonts w:ascii="Times New Roman" w:hAnsi="Times New Roman"/>
              </w:rPr>
              <w:t>Kostka brukowa z rozbiórki</w:t>
            </w:r>
          </w:p>
        </w:tc>
        <w:tc>
          <w:tcPr>
            <w:tcW w:w="3118" w:type="dxa"/>
            <w:vMerge/>
          </w:tcPr>
          <w:p w:rsidR="00DA761F" w:rsidRPr="00DA761F" w:rsidRDefault="00DA761F" w:rsidP="00DA761F">
            <w:pPr>
              <w:spacing w:after="160" w:line="259" w:lineRule="auto"/>
              <w:rPr>
                <w:rFonts w:ascii="Times New Roman" w:hAnsi="Times New Roman"/>
                <w:i/>
              </w:rPr>
            </w:pPr>
          </w:p>
        </w:tc>
      </w:tr>
    </w:tbl>
    <w:p w:rsidR="00DA761F" w:rsidRPr="00DA761F" w:rsidRDefault="00DA761F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Zamawiający dopuszcza wykorzystanie materiałów z frezowania z zakresy ETAP I na wykonanie tymczasowego dojazdu do firmy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(od zachodniej strony). Po zakończeniu eksploatacji dojazdu z materiału pomiędzy zachodnia bramą placu </w:t>
      </w:r>
      <w:proofErr w:type="spellStart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immobilien</w:t>
      </w:r>
      <w:proofErr w:type="spellEnd"/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a ul. Wakacyjną</w:t>
      </w:r>
      <w:r w:rsidRPr="00DA761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kruszywo należy zebrać i wykonać z niego dojazd od ul. Wakacyjnej do wylotu kanału 1000mm.</w:t>
      </w:r>
    </w:p>
    <w:p w:rsidR="00DA761F" w:rsidRPr="00BD1530" w:rsidRDefault="00DA761F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DA761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Własnością Zamawiającego stają się również kruszywo z podbudowy oraz słupki, znaki drogowe. Wszystkie materiały stające się własnością Zamawiającego należy przetransportować na plac przy ul. Bluszczowej.</w:t>
      </w:r>
    </w:p>
    <w:p w:rsidR="00DA761F" w:rsidRPr="00DA761F" w:rsidRDefault="00DA761F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DA761F" w:rsidRDefault="00DA761F" w:rsidP="00DA761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 xml:space="preserve">Dotyczy: </w:t>
      </w:r>
      <w:r w:rsidRPr="00DA761F">
        <w:rPr>
          <w:rFonts w:ascii="Times New Roman" w:eastAsia="Times New Roman" w:hAnsi="Times New Roman" w:cs="Times New Roman"/>
          <w:b/>
          <w:lang w:eastAsia="pl-PL"/>
        </w:rPr>
        <w:t>Termin składania ofert</w:t>
      </w:r>
    </w:p>
    <w:p w:rsidR="00DA761F" w:rsidRPr="00BD1530" w:rsidRDefault="00DA761F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761F">
        <w:rPr>
          <w:rFonts w:ascii="Times New Roman" w:eastAsia="Times New Roman" w:hAnsi="Times New Roman" w:cs="Times New Roman"/>
          <w:lang w:eastAsia="pl-PL"/>
        </w:rPr>
        <w:t>Wykonawca wnosi o przedłużenie terminu składania ofert.</w:t>
      </w:r>
    </w:p>
    <w:p w:rsidR="00DA761F" w:rsidRPr="00DA761F" w:rsidRDefault="00BD1530" w:rsidP="00DA761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Zamawiający nie zmieni terminu. </w:t>
      </w:r>
    </w:p>
    <w:p w:rsidR="00DA761F" w:rsidRPr="00BD1530" w:rsidRDefault="00DA761F" w:rsidP="00DA761F">
      <w:pPr>
        <w:pStyle w:val="Akapitzlist"/>
        <w:numPr>
          <w:ilvl w:val="0"/>
          <w:numId w:val="2"/>
        </w:numPr>
        <w:spacing w:line="254" w:lineRule="auto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 xml:space="preserve">Prosimy o wyjaśnienie czy na ulicy Słonecznej należy zastosować stabilizację </w:t>
      </w:r>
      <w:proofErr w:type="spellStart"/>
      <w:r w:rsidRPr="00BD1530">
        <w:rPr>
          <w:rFonts w:eastAsia="Times New Roman"/>
          <w:sz w:val="22"/>
          <w:szCs w:val="22"/>
        </w:rPr>
        <w:t>Rm</w:t>
      </w:r>
      <w:proofErr w:type="spellEnd"/>
      <w:r w:rsidRPr="00BD1530">
        <w:rPr>
          <w:rFonts w:eastAsia="Times New Roman"/>
          <w:sz w:val="22"/>
          <w:szCs w:val="22"/>
        </w:rPr>
        <w:t xml:space="preserve"> 1,2-2,5 </w:t>
      </w:r>
      <w:proofErr w:type="spellStart"/>
      <w:r w:rsidRPr="00BD1530">
        <w:rPr>
          <w:rFonts w:eastAsia="Times New Roman"/>
          <w:sz w:val="22"/>
          <w:szCs w:val="22"/>
        </w:rPr>
        <w:t>MPa</w:t>
      </w:r>
      <w:proofErr w:type="spellEnd"/>
      <w:r w:rsidRPr="00BD1530">
        <w:rPr>
          <w:rFonts w:eastAsia="Times New Roman"/>
          <w:sz w:val="22"/>
          <w:szCs w:val="22"/>
        </w:rPr>
        <w:t xml:space="preserve"> czy CBGM 1,5/2 o frakcji 0/11,2? Występują rozbieżności w SST 04.05.01.</w:t>
      </w:r>
    </w:p>
    <w:p w:rsidR="00DA761F" w:rsidRPr="00BD1530" w:rsidRDefault="00DA761F" w:rsidP="00DA761F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</w:t>
      </w:r>
      <w:proofErr w:type="spellStart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Rm</w:t>
      </w:r>
      <w:proofErr w:type="spellEnd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= 2,5MPa zgodnie z SST 04.05.01</w:t>
      </w:r>
    </w:p>
    <w:p w:rsidR="00DA761F" w:rsidRPr="00BD1530" w:rsidRDefault="00DA761F" w:rsidP="00DA761F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BD1530" w:rsidRDefault="00DA761F" w:rsidP="00DA761F">
      <w:pPr>
        <w:pStyle w:val="Akapitzlist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 xml:space="preserve">Prosimy o podanie szerokości ścieku </w:t>
      </w:r>
      <w:proofErr w:type="spellStart"/>
      <w:r w:rsidRPr="00BD1530">
        <w:rPr>
          <w:rFonts w:eastAsia="Times New Roman"/>
          <w:sz w:val="22"/>
          <w:szCs w:val="22"/>
        </w:rPr>
        <w:t>przykrawężnikowego</w:t>
      </w:r>
      <w:proofErr w:type="spellEnd"/>
      <w:r w:rsidRPr="00BD1530">
        <w:rPr>
          <w:rFonts w:eastAsia="Times New Roman"/>
          <w:sz w:val="22"/>
          <w:szCs w:val="22"/>
        </w:rPr>
        <w:t xml:space="preserve"> na ul. Słonecznej.</w:t>
      </w:r>
    </w:p>
    <w:p w:rsidR="00DA761F" w:rsidRPr="00677E87" w:rsidRDefault="00DA761F" w:rsidP="00677E87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0,2m zgodnie z rys 5.1 – przekroje konstrukcyjne</w:t>
      </w:r>
    </w:p>
    <w:p w:rsidR="00DA761F" w:rsidRPr="00BD1530" w:rsidRDefault="00DA761F" w:rsidP="00DA761F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Prosimy o potwierdzenie, że płyty ażurowe na ulicy Wakacyjnej mogą być koloru szarego a nie grafitowego</w:t>
      </w:r>
    </w:p>
    <w:p w:rsidR="00DA761F" w:rsidRPr="00BD1530" w:rsidRDefault="00DA761F" w:rsidP="00DA761F">
      <w:pPr>
        <w:pStyle w:val="Akapitzlist"/>
        <w:spacing w:before="100" w:beforeAutospacing="1" w:after="100" w:afterAutospacing="1"/>
        <w:rPr>
          <w:rFonts w:eastAsia="Times New Roman"/>
          <w:b/>
          <w:bCs/>
          <w:color w:val="FF0000"/>
          <w:sz w:val="22"/>
          <w:szCs w:val="22"/>
        </w:rPr>
      </w:pPr>
      <w:r w:rsidRPr="00BD1530">
        <w:rPr>
          <w:rFonts w:eastAsia="Times New Roman"/>
          <w:b/>
          <w:bCs/>
          <w:color w:val="FF0000"/>
          <w:sz w:val="22"/>
          <w:szCs w:val="22"/>
        </w:rPr>
        <w:t>Odp. Należy zastosować płyty grafitowe zgodnie z opisem technicznym pkt. 5.4</w:t>
      </w:r>
    </w:p>
    <w:p w:rsidR="00DA761F" w:rsidRPr="00BD1530" w:rsidRDefault="00DA761F" w:rsidP="00DA761F">
      <w:pPr>
        <w:pStyle w:val="Akapitzlist"/>
        <w:spacing w:before="100" w:beforeAutospacing="1" w:after="100" w:afterAutospacing="1"/>
        <w:rPr>
          <w:rFonts w:eastAsia="Times New Roman"/>
          <w:b/>
          <w:bCs/>
          <w:color w:val="FF0000"/>
          <w:sz w:val="22"/>
          <w:szCs w:val="22"/>
        </w:rPr>
      </w:pPr>
    </w:p>
    <w:p w:rsidR="00DA761F" w:rsidRPr="00BD1530" w:rsidRDefault="00DA761F" w:rsidP="00DA761F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W dokumentacji przetargowej stwierdzono niespójność w zakresie kategorii ruchu dla jakiej należy zaprojektować mieszanki mineralno-asfaltowe. Wnosimy o potwierdzenie, że mieszanki mineralno-asfaltowe na przedmiotowym zadaniu należy zaprojektować dla kategorii ruchu KR 1-2 lub doprecyzować kategorię ruchu jaką należy przyjąć dla projektowanych mieszanek mineralno-asfaltowych.</w:t>
      </w:r>
    </w:p>
    <w:p w:rsidR="00DA761F" w:rsidRPr="00BD1530" w:rsidRDefault="00DA761F" w:rsidP="00DA761F">
      <w:pPr>
        <w:pStyle w:val="Akapitzlist"/>
        <w:spacing w:before="100" w:beforeAutospacing="1" w:after="100" w:afterAutospacing="1"/>
        <w:rPr>
          <w:rFonts w:eastAsia="Times New Roman"/>
          <w:b/>
          <w:bCs/>
          <w:color w:val="FF0000"/>
          <w:sz w:val="22"/>
          <w:szCs w:val="22"/>
        </w:rPr>
      </w:pPr>
      <w:r w:rsidRPr="00BD1530">
        <w:rPr>
          <w:rFonts w:eastAsia="Times New Roman"/>
          <w:b/>
          <w:bCs/>
          <w:color w:val="FF0000"/>
          <w:sz w:val="22"/>
          <w:szCs w:val="22"/>
        </w:rPr>
        <w:t>Odp. KR – 2  - zgodnie z SST</w:t>
      </w:r>
    </w:p>
    <w:p w:rsidR="00DA761F" w:rsidRPr="00BD1530" w:rsidRDefault="00DA761F" w:rsidP="00DA761F">
      <w:pPr>
        <w:pStyle w:val="Akapitzlist"/>
        <w:spacing w:before="100" w:beforeAutospacing="1" w:after="100" w:afterAutospacing="1"/>
        <w:rPr>
          <w:rFonts w:eastAsia="Times New Roman"/>
          <w:b/>
          <w:bCs/>
          <w:color w:val="FF0000"/>
          <w:sz w:val="22"/>
          <w:szCs w:val="22"/>
        </w:rPr>
      </w:pPr>
    </w:p>
    <w:p w:rsidR="00DA761F" w:rsidRPr="00BD1530" w:rsidRDefault="00DA761F" w:rsidP="00DA761F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Dotyczy D.05.03.05/a STWIORB dla projektowanej mieszanki na warstwę wiążącą z AC 16 W 50/70, KR 1-2 oparto o nieaktualne wymagania WT-1, WT-2 2010. Przywołane dokumenty techniczne zostały zaktualizowane i zastąpione wymaganiami WT-1, WT-2 2014. Wnosimy o wyrażenie zgody na zmianę wymagań w odniesieniu do mm-a i możliwość projektowania mieszanki mineralno-asfaltowej na przedmiotowym zadaniu w oparciu o obowiązujące dokumenty techniczne WT-1, WT-2 2014. Wspomniane dokumenty zostały wdrożone zarządzeniami nr 46 i 54 Generalnego Dyrektora Dróg Krajowych i Autostrad z 2014 roku.</w:t>
      </w:r>
      <w:bookmarkStart w:id="2" w:name="_Hlk103325629"/>
    </w:p>
    <w:p w:rsidR="00DA761F" w:rsidRPr="00BD1530" w:rsidRDefault="00DA761F" w:rsidP="00DA761F">
      <w:pPr>
        <w:pStyle w:val="Akapitzlist"/>
        <w:spacing w:before="100" w:beforeAutospacing="1" w:after="100" w:afterAutospacing="1"/>
        <w:rPr>
          <w:rFonts w:eastAsia="Times New Roman"/>
          <w:b/>
          <w:bCs/>
          <w:color w:val="FF0000"/>
          <w:sz w:val="22"/>
          <w:szCs w:val="22"/>
        </w:rPr>
      </w:pPr>
      <w:r w:rsidRPr="00BD1530">
        <w:rPr>
          <w:rFonts w:eastAsia="Times New Roman"/>
          <w:b/>
          <w:bCs/>
          <w:color w:val="FF0000"/>
          <w:sz w:val="22"/>
          <w:szCs w:val="22"/>
        </w:rPr>
        <w:t xml:space="preserve">Odp. Mieszanki zaprojektować zgodnie z STWIOR. </w:t>
      </w:r>
    </w:p>
    <w:p w:rsidR="00DA761F" w:rsidRPr="00BD1530" w:rsidRDefault="00DA761F" w:rsidP="00DA761F">
      <w:pPr>
        <w:pStyle w:val="Akapitzlist"/>
        <w:spacing w:before="100" w:beforeAutospacing="1" w:after="100" w:afterAutospacing="1"/>
        <w:rPr>
          <w:rFonts w:eastAsia="Times New Roman"/>
          <w:sz w:val="22"/>
          <w:szCs w:val="22"/>
        </w:rPr>
      </w:pPr>
    </w:p>
    <w:bookmarkEnd w:id="2"/>
    <w:p w:rsidR="00DA761F" w:rsidRPr="00BD1530" w:rsidRDefault="00DA761F" w:rsidP="00DA761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Dotyczy D.05.03.05/a W STWIORB w pkt. 2.1.1 podano wymaganie właściwości dla kruszywa grubego w zakresie nasiąkliwości i mrozoodporności niezgodne z obowiązującym dokumentem technicznym WT-1 2014. Wnosimy o zmianę zapisów i dostosowanie STWIORB w tym zakresie na zgodność z dokumentem WT-1 2014 lub potwierdzenie, że należy zastosować materiały o właściwościach zgodnych z dokumentem WT-1 2014.</w:t>
      </w:r>
    </w:p>
    <w:p w:rsidR="00DA761F" w:rsidRPr="00BD1530" w:rsidRDefault="00DA761F" w:rsidP="00DA761F">
      <w:pPr>
        <w:pStyle w:val="Akapitzlist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b/>
          <w:bCs/>
          <w:color w:val="FF0000"/>
          <w:sz w:val="22"/>
          <w:szCs w:val="22"/>
        </w:rPr>
        <w:t>Odp. należy stosować mieszanki zgodne z STWIOR. Celem Zamawiającego jest uzyskanie górnych parametrów dla KR2.</w:t>
      </w:r>
      <w:r w:rsidRPr="00BD1530">
        <w:rPr>
          <w:rFonts w:eastAsia="Times New Roman"/>
          <w:sz w:val="22"/>
          <w:szCs w:val="22"/>
        </w:rPr>
        <w:t> </w:t>
      </w:r>
    </w:p>
    <w:p w:rsidR="00DA761F" w:rsidRPr="00BD1530" w:rsidRDefault="00DA761F" w:rsidP="00DA761F">
      <w:pPr>
        <w:pStyle w:val="Akapitzlist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DA761F" w:rsidRPr="00BD1530" w:rsidRDefault="00DA761F" w:rsidP="00DA761F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Dotyczy D.05.03.05/a W STWIORB wskazano do zaprojektowania mieszankę na warstwę wiążącą z AC 16 W 50/70 dla kategorii ruchu KR 1-2. W pkt. 5.2 podano natomiast wymagania dla mieszanki na warstwę podbudowy z AC 16 P dla kategorii ruchu KR 3-4. Wnosimy o zmianę zapisów STWIORB i podanie właściwych wymagań dla projektowanej mieszanki z AC 16 W 50/70, KR 1-2  lub potwierdzenie, że wymagane właściwości dla projektowanej mieszanki na warstwę wiążącą z AC 16 W 50/70, KR 1-2 mają być zgodne z wymaganiami z obowiązującego dokumentu technicznego WT-2 2014.</w:t>
      </w:r>
    </w:p>
    <w:p w:rsidR="00DA761F" w:rsidRPr="00BD1530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Mieszanki zaprojektować zgodnie z STWIOR. </w:t>
      </w:r>
    </w:p>
    <w:p w:rsidR="00DA761F" w:rsidRPr="00BD1530" w:rsidRDefault="00DA761F" w:rsidP="00DA761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BD1530" w:rsidRDefault="00DA761F" w:rsidP="00DA761F">
      <w:pPr>
        <w:pStyle w:val="Akapitzlist"/>
        <w:numPr>
          <w:ilvl w:val="0"/>
          <w:numId w:val="2"/>
        </w:numPr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Dotyczy D.05.03.05/a W STWIORB w pkt. 6.4.2.3 podano niewłaściwe wartości wolnej przestrzeni w wykonanej warstwie dla mieszanki AC 16 W, KR 1-2. Wnosimy o potwierdzenie, że wolna przestrzeń w wykonanej warstwie dla projektowanej mieszanki na zadaniu ma być zgodna z tablicą 16 z WT-2 2016, część II "Wykonanie warstw nawierzchni asfaltowych”.</w:t>
      </w:r>
    </w:p>
    <w:p w:rsidR="00DA761F" w:rsidRDefault="00DA761F" w:rsidP="00677E87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</w:t>
      </w:r>
      <w:bookmarkStart w:id="3" w:name="_Hlk103326542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Zamawiający nie ma obowiązku stosowania WT-2 2016. </w:t>
      </w:r>
      <w:bookmarkEnd w:id="3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Wymagana zawartość wonnej przestrzeni dla AC16W wynosi  KR2 – 4,0-7,0 %. Zamawiający zakłada zaw. wolnych przestrzeni w górnym zakresie KR2.</w:t>
      </w:r>
    </w:p>
    <w:p w:rsidR="00677E87" w:rsidRPr="00677E87" w:rsidRDefault="00677E87" w:rsidP="00677E87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BD1530" w:rsidRDefault="00DA761F" w:rsidP="00DA761F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 xml:space="preserve">Dotyczy </w:t>
      </w:r>
      <w:bookmarkStart w:id="4" w:name="_Hlk103326586"/>
      <w:r w:rsidRPr="00BD1530">
        <w:rPr>
          <w:rFonts w:eastAsia="Times New Roman"/>
          <w:sz w:val="22"/>
          <w:szCs w:val="22"/>
        </w:rPr>
        <w:t xml:space="preserve">D.05.03.05/a </w:t>
      </w:r>
      <w:bookmarkEnd w:id="4"/>
      <w:r w:rsidRPr="00BD1530">
        <w:rPr>
          <w:rFonts w:eastAsia="Times New Roman"/>
          <w:sz w:val="22"/>
          <w:szCs w:val="22"/>
        </w:rPr>
        <w:t>Specyfikacja nie zawiera informacji nt. możliwości zastosowania granulatu asfaltowego do mieszanki na warstwę wiążącą. Ze względu na brak technologicznego uzasadnienia wykluczenia granulatu asfaltowego do produkcji mieszanek mineralno-asfaltowych wnosimy o dostosowanie zapisów STWIORB, które będą zgodne z dokumentem technicznym WT-2 2014, który dopuszcza ten materiał w ilości do 20% "metodą na zimno". Stosowanie granulatu asfaltowego każdorazowo potwierdzone jest oznaczeniem wymaganych parametrów gotowej mieszanki w badaniu typu w związku z tym nie wpływa on negatywnie na jakość mieszanki i pozwala obniżyć koszty inwestycji. Granulat asfaltowy przy spełnieniu odpowiednich warunków jednorodności jest pełnowartościowym materiałem opisanym w normie PN-EN 13 108-8. Czy zamawiający wyrazi zgodę na zastosowanie do projektowanej mieszanek na warstwę wiążącą granulatu asfaltowego w ilości 20% zgodnie z wymaganiami zawartymi w dokumencie technicznym WT-2 2014?</w:t>
      </w:r>
    </w:p>
    <w:p w:rsidR="00DA761F" w:rsidRPr="00BD1530" w:rsidRDefault="00DA761F" w:rsidP="00DA761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MMA wykonać o składzie i parametrach zgodnie z D.05.03.05/a.</w:t>
      </w:r>
      <w:r w:rsidRPr="00BD1530">
        <w:rPr>
          <w:rFonts w:ascii="Times New Roman" w:hAnsi="Times New Roman" w:cs="Times New Roman"/>
        </w:rPr>
        <w:t xml:space="preserve"> </w:t>
      </w:r>
      <w:bookmarkStart w:id="5" w:name="_Hlk103326931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Zamawiający nie ma obowiązku stosowania WT-2 2016.</w:t>
      </w:r>
      <w:r w:rsidRPr="00BD1530">
        <w:rPr>
          <w:rFonts w:ascii="Times New Roman" w:hAnsi="Times New Roman" w:cs="Times New Roman"/>
        </w:rPr>
        <w:t xml:space="preserve"> </w:t>
      </w: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Celem Zamawiającego jest   uzyskanie górnych parametrów dla KR2.</w:t>
      </w:r>
      <w:bookmarkEnd w:id="5"/>
    </w:p>
    <w:p w:rsidR="00DA761F" w:rsidRPr="00BD1530" w:rsidRDefault="00DA761F" w:rsidP="00DA761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BD1530" w:rsidRPr="00BD1530" w:rsidRDefault="00DA761F" w:rsidP="00DA761F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lastRenderedPageBreak/>
        <w:t>W dokumentacji przetargowej wskazano do zaprojektowania mieszankę na warstwę wiążącą z AC 16 W przy użyciu lepiszcza 50/70. W przypadku jeśli mieszanka AC 16 W miałaby być zaprojektowana dla kategorii ruchu KR 3-4 wnosimy o wyrażenie zgodny na możliwość zastosowania asfaltu 35/50. Proponowana zmiana jest zgodna z obowiązującym dokumentem technicznym WT- 2 oraz pozwoli zwiększyć odporność mm-a na deformacje trwałe, a w konsekwencji wydłużyć okres eksploatacji nawierzchni.</w:t>
      </w:r>
    </w:p>
    <w:p w:rsidR="00DA761F" w:rsidRPr="00BD1530" w:rsidRDefault="00DA761F" w:rsidP="00BD1530">
      <w:pPr>
        <w:pStyle w:val="Akapitzlist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b/>
          <w:bCs/>
          <w:color w:val="FF0000"/>
          <w:sz w:val="22"/>
          <w:szCs w:val="22"/>
        </w:rPr>
        <w:t>Odp. należy stosować mieszanki zgodne z STWIOR. Celem Zamawiającego jest   uzyskanie górnych parametrów dla KR2.</w:t>
      </w:r>
      <w:r w:rsidRPr="00BD1530">
        <w:rPr>
          <w:rFonts w:eastAsia="Times New Roman"/>
          <w:sz w:val="22"/>
          <w:szCs w:val="22"/>
        </w:rPr>
        <w:t> </w:t>
      </w:r>
    </w:p>
    <w:p w:rsidR="00BD1530" w:rsidRPr="00BD1530" w:rsidRDefault="00BD1530" w:rsidP="00BD1530">
      <w:pPr>
        <w:pStyle w:val="Akapitzlist"/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</w:p>
    <w:p w:rsidR="00DA761F" w:rsidRPr="00BD1530" w:rsidRDefault="00DA761F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Dotyczy D.05.03.05/b W STWIORB wskazano do zaprojektowania mieszankę na warstwę ścieralną z AC 11 S 50/70 dla kategorii ruchu KR 1-2. W pkt. 5.2.1 podano uziarnienie i wymaganą ilość lepiszcza dla mieszanki AC 11 S dla kategorii ruchu KR 3-4. Wnosimy o zmianę zapisów STWIORB i podanie właściwego uziarnienia i ilości lepiszcza dla projektowanej mieszanki z AC 11 S dla kategorii ruchu KR 1-2 lub potwierdzenie, że mieszankę na warstwę ścieralną z AC 11 S dla kategorii ruchu KR 1-2 należy zaprojektować zgodnie z obowiązującymi wymaganiami WT-2 2014.</w:t>
      </w:r>
    </w:p>
    <w:p w:rsidR="00DA761F" w:rsidRPr="00BD1530" w:rsidRDefault="00DA761F" w:rsidP="00BD153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6" w:name="_Hlk103327101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należy stosować mieszanki zgodne z STWIOR. Celem Zamawiającego jest uzyskanie górnych parametrów dla KR2.</w:t>
      </w:r>
      <w:bookmarkEnd w:id="6"/>
    </w:p>
    <w:p w:rsidR="00BD1530" w:rsidRPr="00BD1530" w:rsidRDefault="00BD1530" w:rsidP="00BD153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761F" w:rsidRPr="00BD1530" w:rsidRDefault="00DA761F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Dotyczy D.05.03.05/b W STWIORB w pkt. 2.1. podano wymaganie właściwości dla kruszywa grubego w zakresie nasiąkliwości i mrozoodporności niezgodne z obowiązującym dokumentem technicznym WT-1 2014. Wnosimy o zmianę zapisów i dostosowanie STWIORB w tym zakresie na zgodność z dokumentem WT-1 2014, który został przywołany w pkt. 10 lub potwierdzenie, że należy zastosować materiały o właściwościach zgodnych z dokumentem WT-1 2014 dla projektowanej mieszanki na warstwę ścieralną z AC 11 S.</w:t>
      </w:r>
    </w:p>
    <w:p w:rsidR="00DA761F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należy stosować mieszanki zgodne z STWIOR. Celem Zamawiającego jest uzyskanie górnych parametrów dla KR2.</w:t>
      </w:r>
    </w:p>
    <w:p w:rsidR="00DA761F" w:rsidRPr="00BD1530" w:rsidRDefault="00DA761F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 xml:space="preserve">Prosimy o zamieszczenie listy przedmiarów, które dotyczą inwestycji w formacie </w:t>
      </w:r>
      <w:proofErr w:type="spellStart"/>
      <w:r w:rsidRPr="00BD1530">
        <w:rPr>
          <w:rFonts w:eastAsia="Times New Roman"/>
          <w:sz w:val="22"/>
          <w:szCs w:val="22"/>
        </w:rPr>
        <w:t>excel</w:t>
      </w:r>
      <w:proofErr w:type="spellEnd"/>
      <w:r w:rsidRPr="00BD1530">
        <w:rPr>
          <w:rFonts w:eastAsia="Times New Roman"/>
          <w:sz w:val="22"/>
          <w:szCs w:val="22"/>
        </w:rPr>
        <w:t xml:space="preserve"> wraz z podziałem na zadania. W aktualnie zamieszczonej dokumentacji przedmiary są w formatach </w:t>
      </w:r>
      <w:proofErr w:type="spellStart"/>
      <w:r w:rsidRPr="00BD1530">
        <w:rPr>
          <w:rFonts w:eastAsia="Times New Roman"/>
          <w:sz w:val="22"/>
          <w:szCs w:val="22"/>
        </w:rPr>
        <w:t>excel</w:t>
      </w:r>
      <w:proofErr w:type="spellEnd"/>
      <w:r w:rsidRPr="00BD1530">
        <w:rPr>
          <w:rFonts w:eastAsia="Times New Roman"/>
          <w:sz w:val="22"/>
          <w:szCs w:val="22"/>
        </w:rPr>
        <w:t xml:space="preserve">, pdf, </w:t>
      </w:r>
      <w:proofErr w:type="spellStart"/>
      <w:r w:rsidRPr="00BD1530">
        <w:rPr>
          <w:rFonts w:eastAsia="Times New Roman"/>
          <w:sz w:val="22"/>
          <w:szCs w:val="22"/>
        </w:rPr>
        <w:t>ath</w:t>
      </w:r>
      <w:proofErr w:type="spellEnd"/>
      <w:r w:rsidRPr="00BD1530">
        <w:rPr>
          <w:rFonts w:eastAsia="Times New Roman"/>
          <w:sz w:val="22"/>
          <w:szCs w:val="22"/>
        </w:rPr>
        <w:t xml:space="preserve"> oraz nie są jasno sklasyfikowane pod względem przynależności do poszczególnych zadań. </w:t>
      </w:r>
    </w:p>
    <w:p w:rsidR="00DA761F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Zamawiający nie jest w posiadaniu zestawienia listy przedmiarów dot. wszystkich zadań. Przedmiary należy traktować jako pomocnicze, a ofertę należy skalkulować w oparciu o SWZ, projekty oraz pozostałe zamieszczone przez Zamawiającego dokumenty i wytyczne. </w:t>
      </w:r>
    </w:p>
    <w:p w:rsidR="00BD1530" w:rsidRPr="00BD1530" w:rsidRDefault="00BD1530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BD1530" w:rsidRDefault="00DA761F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Czyją własność stanowi drewno z wycinki? W przypadku materiałów stanowiących własność Zamawiającego prosimy o wskazanie lokalizacji placu składowego.</w:t>
      </w:r>
    </w:p>
    <w:p w:rsidR="00DA761F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Drewno z wycinki staje się własnością Wykonawcy</w:t>
      </w:r>
    </w:p>
    <w:p w:rsidR="00BD1530" w:rsidRPr="00BD1530" w:rsidRDefault="00BD1530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BD1530" w:rsidRDefault="00DA761F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Prosimy o informację czy wymagany jest nadzór archeologiczny?</w:t>
      </w:r>
    </w:p>
    <w:p w:rsidR="00DA761F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WN673.27.2020 </w:t>
      </w:r>
      <w:bookmarkStart w:id="7" w:name="_Hlk103336670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(ODWODNIENIE JANA PAWŁA…) </w:t>
      </w:r>
      <w:bookmarkEnd w:id="7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– nie – zgodnie z WU.DB.ZAR.5152.4.42.2019.TZ </w:t>
      </w:r>
    </w:p>
    <w:p w:rsidR="00DA761F" w:rsidRPr="00BD1530" w:rsidRDefault="00DA761F" w:rsidP="00DA761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bookmarkStart w:id="8" w:name="_Hlk103337747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WN.673.28.2017 </w:t>
      </w:r>
      <w:bookmarkEnd w:id="8"/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(ROZBUDOWA UL. SŁONECZNEJ…) -- nie – zgodnie  z WU.DB.ZAR.5152.6.23.2016.TZ</w:t>
      </w:r>
    </w:p>
    <w:p w:rsidR="00DA761F" w:rsidRPr="00BD1530" w:rsidRDefault="00DA761F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Prosimy o informację czy wymagany jest nadzór ornitologiczny?</w:t>
      </w:r>
    </w:p>
    <w:p w:rsidR="00DA761F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WN673.27.2020 – nie</w:t>
      </w:r>
    </w:p>
    <w:p w:rsidR="00DA761F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Odp. WN.673.28.2017 </w:t>
      </w:r>
      <w:r w:rsidR="00BD1530"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–</w:t>
      </w: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nie</w:t>
      </w:r>
    </w:p>
    <w:p w:rsidR="00BD1530" w:rsidRPr="00BD1530" w:rsidRDefault="00BD1530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BD1530" w:rsidRDefault="00DA761F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Prosimy o informację czy wymagany jest nadzór przyrodniczy?</w:t>
      </w:r>
    </w:p>
    <w:p w:rsidR="00DA761F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WN673.27.2020  – nie</w:t>
      </w:r>
    </w:p>
    <w:p w:rsidR="00DA761F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Odp. WN.673.28.2017 - nie</w:t>
      </w:r>
    </w:p>
    <w:p w:rsidR="00DA761F" w:rsidRPr="00BD1530" w:rsidRDefault="00DA761F" w:rsidP="00BD1530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Prosimy o informację czy wymagany jest nadzór saperski?</w:t>
      </w:r>
    </w:p>
    <w:p w:rsidR="00DA761F" w:rsidRPr="00BD1530" w:rsidRDefault="00DA761F" w:rsidP="00DA761F">
      <w:pPr>
        <w:pStyle w:val="Akapitzlist"/>
        <w:spacing w:before="100" w:beforeAutospacing="1" w:after="100" w:afterAutospacing="1"/>
        <w:jc w:val="both"/>
        <w:rPr>
          <w:rFonts w:eastAsia="Times New Roman"/>
          <w:b/>
          <w:bCs/>
          <w:color w:val="FF0000"/>
          <w:sz w:val="22"/>
          <w:szCs w:val="22"/>
        </w:rPr>
      </w:pPr>
      <w:bookmarkStart w:id="9" w:name="_Hlk103335634"/>
      <w:r w:rsidRPr="00BD1530">
        <w:rPr>
          <w:rFonts w:eastAsia="Times New Roman"/>
          <w:b/>
          <w:bCs/>
          <w:color w:val="FF0000"/>
          <w:sz w:val="22"/>
          <w:szCs w:val="22"/>
        </w:rPr>
        <w:t xml:space="preserve">Odp. WN673.27.2020 – nie </w:t>
      </w:r>
    </w:p>
    <w:p w:rsidR="00DA761F" w:rsidRPr="00BD1530" w:rsidRDefault="00DA761F" w:rsidP="00BD1530">
      <w:pPr>
        <w:pStyle w:val="Akapitzlist"/>
        <w:spacing w:before="100" w:beforeAutospacing="1" w:after="100" w:afterAutospacing="1"/>
        <w:jc w:val="both"/>
        <w:rPr>
          <w:rFonts w:eastAsia="Times New Roman"/>
          <w:b/>
          <w:bCs/>
          <w:color w:val="FF0000"/>
          <w:sz w:val="22"/>
          <w:szCs w:val="22"/>
        </w:rPr>
      </w:pPr>
      <w:r w:rsidRPr="00BD1530">
        <w:rPr>
          <w:rFonts w:eastAsia="Times New Roman"/>
          <w:b/>
          <w:bCs/>
          <w:color w:val="FF0000"/>
          <w:sz w:val="22"/>
          <w:szCs w:val="22"/>
        </w:rPr>
        <w:t xml:space="preserve">Odp. WN.673.28.2017 </w:t>
      </w:r>
      <w:r w:rsidR="00BD1530" w:rsidRPr="00BD1530">
        <w:rPr>
          <w:rFonts w:eastAsia="Times New Roman"/>
          <w:b/>
          <w:bCs/>
          <w:color w:val="FF0000"/>
          <w:sz w:val="22"/>
          <w:szCs w:val="22"/>
        </w:rPr>
        <w:t>–</w:t>
      </w:r>
      <w:r w:rsidRPr="00BD1530">
        <w:rPr>
          <w:rFonts w:eastAsia="Times New Roman"/>
          <w:b/>
          <w:bCs/>
          <w:color w:val="FF0000"/>
          <w:sz w:val="22"/>
          <w:szCs w:val="22"/>
        </w:rPr>
        <w:t xml:space="preserve"> nie</w:t>
      </w:r>
      <w:bookmarkEnd w:id="9"/>
    </w:p>
    <w:p w:rsidR="00BD1530" w:rsidRPr="00BD1530" w:rsidRDefault="00BD1530" w:rsidP="00BD1530">
      <w:pPr>
        <w:pStyle w:val="Akapitzlist"/>
        <w:spacing w:before="100" w:beforeAutospacing="1" w:after="100" w:afterAutospacing="1"/>
        <w:jc w:val="both"/>
        <w:rPr>
          <w:rFonts w:eastAsia="Times New Roman"/>
          <w:b/>
          <w:bCs/>
          <w:color w:val="FF0000"/>
          <w:sz w:val="22"/>
          <w:szCs w:val="22"/>
        </w:rPr>
      </w:pPr>
    </w:p>
    <w:p w:rsidR="00DA761F" w:rsidRPr="00BD1530" w:rsidRDefault="00DA761F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sz w:val="22"/>
          <w:szCs w:val="22"/>
        </w:rPr>
      </w:pPr>
      <w:r w:rsidRPr="00BD1530">
        <w:rPr>
          <w:rFonts w:eastAsia="Times New Roman"/>
          <w:sz w:val="22"/>
          <w:szCs w:val="22"/>
        </w:rPr>
        <w:t>Czyją własność stanowią materiały rozbiórkowe? W przypadku materiałów stanowiących własność Zamawiającego prosimy o wskazanie lokalizacji placu składowego.</w:t>
      </w:r>
    </w:p>
    <w:p w:rsidR="00BD1530" w:rsidRPr="00BD1530" w:rsidRDefault="00DA761F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153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lastRenderedPageBreak/>
        <w:t>Odp. Zgodne z wcześniejszymi odpowiedziami tj. : kostka betonowa, płyty drogowe, znaki drogowe, kruszywo z podbudowy, destrukt asfaltowy stają się własnością Zamawiającego. Materiał należy dostarczyć na plac zamawiającego : ul. Bluszczowa w Żołędowie.</w:t>
      </w:r>
    </w:p>
    <w:p w:rsidR="00BD1530" w:rsidRPr="00BD1530" w:rsidRDefault="00BD1530" w:rsidP="00BD15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DA761F" w:rsidRPr="00BD1530" w:rsidRDefault="00BD1530" w:rsidP="00BD1530">
      <w:pPr>
        <w:pStyle w:val="Akapitzlist"/>
        <w:numPr>
          <w:ilvl w:val="0"/>
          <w:numId w:val="2"/>
        </w:numPr>
        <w:jc w:val="both"/>
        <w:rPr>
          <w:rFonts w:eastAsia="Times New Roman"/>
          <w:b/>
          <w:bCs/>
          <w:color w:val="FF0000"/>
          <w:sz w:val="22"/>
          <w:szCs w:val="22"/>
        </w:rPr>
      </w:pPr>
      <w:r w:rsidRPr="00BD1530">
        <w:rPr>
          <w:sz w:val="22"/>
          <w:szCs w:val="22"/>
        </w:rPr>
        <w:t>W</w:t>
      </w:r>
      <w:r w:rsidRPr="00BD1530">
        <w:rPr>
          <w:sz w:val="22"/>
          <w:szCs w:val="22"/>
        </w:rPr>
        <w:t>ykonawca prosi o podanie, na podstawie jakich obliczeń i wytycznych ustalono wielkość osadnika? Zgodnie z normą PN-EN 858 2:2002 przy małej ilości osadu pojemność osadnika to: 100 x NS, czyli 125 x 100= 12,5 m3). Czy ilość osadów w tej zlewni jest tak wysoka? Wykonawca prosi o załączenie obliczeń, jak również operatu wodnoprawnego</w:t>
      </w:r>
    </w:p>
    <w:p w:rsidR="00BD1530" w:rsidRPr="00BD1530" w:rsidRDefault="00BD1530" w:rsidP="00BD1530">
      <w:pPr>
        <w:pStyle w:val="Akapitzlist"/>
        <w:jc w:val="both"/>
        <w:rPr>
          <w:rFonts w:eastAsia="Times New Roman"/>
          <w:b/>
          <w:bCs/>
          <w:color w:val="FF0000"/>
          <w:sz w:val="22"/>
          <w:szCs w:val="22"/>
        </w:rPr>
      </w:pPr>
      <w:r w:rsidRPr="00BD1530">
        <w:rPr>
          <w:b/>
          <w:color w:val="FF0000"/>
          <w:sz w:val="22"/>
          <w:szCs w:val="22"/>
        </w:rPr>
        <w:t>Załączono operat wodnoprawny.</w:t>
      </w:r>
    </w:p>
    <w:p w:rsidR="00DA761F" w:rsidRPr="00BD1530" w:rsidRDefault="00DA761F" w:rsidP="00DA7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D1530">
        <w:rPr>
          <w:rFonts w:ascii="Times New Roman" w:eastAsia="Times New Roman" w:hAnsi="Times New Roman" w:cs="Times New Roman"/>
          <w:lang w:eastAsia="pl-PL"/>
        </w:rPr>
        <w:t> </w:t>
      </w:r>
    </w:p>
    <w:p w:rsidR="0015282A" w:rsidRPr="00BD1530" w:rsidRDefault="0015282A" w:rsidP="00DA761F">
      <w:pPr>
        <w:jc w:val="both"/>
        <w:rPr>
          <w:rFonts w:ascii="Times New Roman" w:hAnsi="Times New Roman" w:cs="Times New Roman"/>
          <w:b/>
          <w:color w:val="FF0000"/>
        </w:rPr>
      </w:pPr>
    </w:p>
    <w:sectPr w:rsidR="0015282A" w:rsidRPr="00BD1530" w:rsidSect="00677E8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214"/>
    <w:multiLevelType w:val="multilevel"/>
    <w:tmpl w:val="DA22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D3FC1"/>
    <w:multiLevelType w:val="hybridMultilevel"/>
    <w:tmpl w:val="1A2668B8"/>
    <w:lvl w:ilvl="0" w:tplc="6DD4C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55DF"/>
    <w:multiLevelType w:val="multilevel"/>
    <w:tmpl w:val="322E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C590E"/>
    <w:multiLevelType w:val="multilevel"/>
    <w:tmpl w:val="4EC0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D7D89"/>
    <w:multiLevelType w:val="multilevel"/>
    <w:tmpl w:val="732A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B5F64"/>
    <w:multiLevelType w:val="multilevel"/>
    <w:tmpl w:val="8EC2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B0326"/>
    <w:multiLevelType w:val="multilevel"/>
    <w:tmpl w:val="F71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C1B12"/>
    <w:multiLevelType w:val="multilevel"/>
    <w:tmpl w:val="6924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325E2"/>
    <w:multiLevelType w:val="multilevel"/>
    <w:tmpl w:val="FCBA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0583C"/>
    <w:multiLevelType w:val="multilevel"/>
    <w:tmpl w:val="68A6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C1842"/>
    <w:multiLevelType w:val="multilevel"/>
    <w:tmpl w:val="B212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22190"/>
    <w:multiLevelType w:val="multilevel"/>
    <w:tmpl w:val="96AC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3735E"/>
    <w:multiLevelType w:val="multilevel"/>
    <w:tmpl w:val="5524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62894"/>
    <w:multiLevelType w:val="hybridMultilevel"/>
    <w:tmpl w:val="B808A4A4"/>
    <w:lvl w:ilvl="0" w:tplc="D16CBD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6915C5"/>
    <w:multiLevelType w:val="multilevel"/>
    <w:tmpl w:val="BA04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2444C"/>
    <w:multiLevelType w:val="multilevel"/>
    <w:tmpl w:val="B1E0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6F740D"/>
    <w:multiLevelType w:val="multilevel"/>
    <w:tmpl w:val="F4DC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8D31BE"/>
    <w:multiLevelType w:val="multilevel"/>
    <w:tmpl w:val="28B4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E688A"/>
    <w:multiLevelType w:val="multilevel"/>
    <w:tmpl w:val="6330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F4E47"/>
    <w:multiLevelType w:val="multilevel"/>
    <w:tmpl w:val="8092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18"/>
  </w:num>
  <w:num w:numId="6">
    <w:abstractNumId w:val="3"/>
  </w:num>
  <w:num w:numId="7">
    <w:abstractNumId w:val="12"/>
  </w:num>
  <w:num w:numId="8">
    <w:abstractNumId w:val="7"/>
  </w:num>
  <w:num w:numId="9">
    <w:abstractNumId w:val="15"/>
  </w:num>
  <w:num w:numId="10">
    <w:abstractNumId w:val="6"/>
  </w:num>
  <w:num w:numId="11">
    <w:abstractNumId w:val="20"/>
  </w:num>
  <w:num w:numId="12">
    <w:abstractNumId w:val="4"/>
  </w:num>
  <w:num w:numId="13">
    <w:abstractNumId w:val="10"/>
  </w:num>
  <w:num w:numId="14">
    <w:abstractNumId w:val="11"/>
  </w:num>
  <w:num w:numId="15">
    <w:abstractNumId w:val="0"/>
  </w:num>
  <w:num w:numId="16">
    <w:abstractNumId w:val="17"/>
  </w:num>
  <w:num w:numId="17">
    <w:abstractNumId w:val="5"/>
  </w:num>
  <w:num w:numId="18">
    <w:abstractNumId w:val="8"/>
  </w:num>
  <w:num w:numId="19">
    <w:abstractNumId w:val="13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1E"/>
    <w:rsid w:val="0015282A"/>
    <w:rsid w:val="0062161E"/>
    <w:rsid w:val="00677E87"/>
    <w:rsid w:val="007E178C"/>
    <w:rsid w:val="00BD1530"/>
    <w:rsid w:val="00DA761F"/>
    <w:rsid w:val="00DC4A82"/>
    <w:rsid w:val="00F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F7502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34"/>
    <w:qFormat/>
    <w:locked/>
    <w:rsid w:val="00F7502A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A761F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A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F7502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34"/>
    <w:qFormat/>
    <w:locked/>
    <w:rsid w:val="00F7502A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A761F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A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4312</Words>
  <Characters>25877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6</cp:revision>
  <cp:lastPrinted>2022-05-13T11:27:00Z</cp:lastPrinted>
  <dcterms:created xsi:type="dcterms:W3CDTF">2022-05-10T11:53:00Z</dcterms:created>
  <dcterms:modified xsi:type="dcterms:W3CDTF">2022-05-13T11:27:00Z</dcterms:modified>
</cp:coreProperties>
</file>