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E34964" w:rsidP="005F4A7D">
      <w:pPr>
        <w:pBdr>
          <w:top w:val="single" w:sz="4" w:space="0" w:color="auto"/>
        </w:pBdr>
        <w:spacing w:before="60"/>
      </w:pPr>
      <w:r>
        <w:rPr>
          <w:noProof/>
        </w:rPr>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BE197F" w:rsidRDefault="00BE197F" w:rsidP="005F4A7D">
                  <w:pPr>
                    <w:pStyle w:val="Nagwek1"/>
                    <w:jc w:val="center"/>
                  </w:pPr>
                  <w:r>
                    <w:t>Gminny Zakład Komunalny</w:t>
                  </w:r>
                </w:p>
                <w:p w:rsidR="00BE197F" w:rsidRDefault="00BE197F" w:rsidP="005F4A7D">
                  <w:pPr>
                    <w:jc w:val="center"/>
                  </w:pPr>
                  <w:r>
                    <w:rPr>
                      <w:b/>
                      <w:sz w:val="32"/>
                    </w:rPr>
                    <w:t>Żołędowo, ul. Jastrzębia 62, 86-031 Osielsko</w:t>
                  </w:r>
                </w:p>
              </w:txbxContent>
            </v:textbox>
          </v:shape>
        </w:pict>
      </w:r>
      <w:r w:rsidR="005F4A7D">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p>
    <w:p w:rsidR="005F4A7D" w:rsidRDefault="005F4A7D" w:rsidP="005F4A7D">
      <w:pPr>
        <w:jc w:val="center"/>
        <w:rPr>
          <w:rFonts w:ascii="Calibri" w:hAnsi="Calibri" w:cs="Calibri"/>
          <w:b/>
        </w:rPr>
      </w:pPr>
    </w:p>
    <w:p w:rsidR="005F4A7D" w:rsidRDefault="00BE197F" w:rsidP="005F4A7D">
      <w:pPr>
        <w:spacing w:line="480" w:lineRule="auto"/>
        <w:jc w:val="center"/>
        <w:rPr>
          <w:rFonts w:ascii="Calibri" w:hAnsi="Calibri" w:cs="Calibri"/>
          <w:b/>
          <w:sz w:val="28"/>
          <w:szCs w:val="28"/>
        </w:rPr>
      </w:pPr>
      <w:r w:rsidRPr="00BE197F">
        <w:rPr>
          <w:b/>
        </w:rPr>
        <w:t>Wykonanie nakładki asfaltowej na ul. Nowowiejskiej w miejscowości Jarużyn, gmina Osielsko</w:t>
      </w:r>
    </w:p>
    <w:p w:rsidR="005F4A7D" w:rsidRPr="00182612" w:rsidRDefault="005F4A7D" w:rsidP="005F4A7D">
      <w:pPr>
        <w:spacing w:line="480" w:lineRule="auto"/>
        <w:jc w:val="center"/>
        <w:rPr>
          <w:rFonts w:ascii="Calibri" w:hAnsi="Calibri" w:cs="Calibri"/>
          <w:b/>
        </w:rPr>
      </w:pPr>
      <w:r w:rsidRPr="00182612">
        <w:rPr>
          <w:rFonts w:ascii="Calibri" w:hAnsi="Calibri" w:cs="Calibri"/>
          <w:b/>
        </w:rPr>
        <w:t>nr referencyjny GZK.271.</w:t>
      </w:r>
      <w:r w:rsidR="00C541CF">
        <w:rPr>
          <w:rFonts w:ascii="Calibri" w:hAnsi="Calibri" w:cs="Calibri"/>
          <w:b/>
        </w:rPr>
        <w:t>4</w:t>
      </w:r>
      <w:r w:rsidRPr="00182612">
        <w:rPr>
          <w:rFonts w:ascii="Calibri" w:hAnsi="Calibri" w:cs="Calibri"/>
          <w:b/>
        </w:rPr>
        <w:t>.202</w:t>
      </w:r>
      <w:r w:rsidR="00C541CF">
        <w:rPr>
          <w:rFonts w:ascii="Calibri" w:hAnsi="Calibri" w:cs="Calibri"/>
          <w:b/>
        </w:rPr>
        <w:t>2</w:t>
      </w:r>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BB74A7" w:rsidRDefault="00BB74A7" w:rsidP="005F4A7D">
      <w:pPr>
        <w:rPr>
          <w:rFonts w:ascii="Calibri" w:hAnsi="Calibri" w:cs="Calibri"/>
        </w:rPr>
      </w:pPr>
    </w:p>
    <w:p w:rsidR="00BB74A7" w:rsidRDefault="00BB74A7"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Pr="001B395C" w:rsidRDefault="005F4A7D" w:rsidP="005F4A7D">
      <w:pPr>
        <w:rPr>
          <w:rFonts w:ascii="Calibri" w:hAnsi="Calibri" w:cs="Calibri"/>
        </w:rPr>
      </w:pPr>
      <w:r w:rsidRPr="001B395C">
        <w:rPr>
          <w:rFonts w:ascii="Calibri" w:hAnsi="Calibri" w:cs="Calibri"/>
        </w:rPr>
        <w:t xml:space="preserve">Żołędowo, dnia </w:t>
      </w:r>
      <w:r w:rsidR="00712F4A">
        <w:rPr>
          <w:rFonts w:ascii="Calibri" w:hAnsi="Calibri" w:cs="Calibri"/>
        </w:rPr>
        <w:t>25</w:t>
      </w:r>
      <w:r w:rsidR="001B395C" w:rsidRPr="001B395C">
        <w:rPr>
          <w:rFonts w:ascii="Calibri" w:hAnsi="Calibri" w:cs="Calibri"/>
        </w:rPr>
        <w:t>.03.2022</w:t>
      </w:r>
      <w:r w:rsidRPr="001B395C">
        <w:rPr>
          <w:rFonts w:ascii="Calibri" w:hAnsi="Calibri" w:cs="Calibri"/>
        </w:rPr>
        <w:t xml:space="preserve"> r.</w:t>
      </w:r>
    </w:p>
    <w:p w:rsidR="002545D7" w:rsidRDefault="002545D7" w:rsidP="005F4A7D">
      <w:pPr>
        <w:rPr>
          <w:rFonts w:ascii="Calibri" w:hAnsi="Calibri" w:cs="Calibri"/>
        </w:rPr>
      </w:pPr>
    </w:p>
    <w:p w:rsidR="003E695D" w:rsidRDefault="003E695D" w:rsidP="005F4A7D">
      <w:pPr>
        <w:rPr>
          <w:rFonts w:ascii="Calibri" w:hAnsi="Calibri" w:cs="Calibri"/>
        </w:rPr>
      </w:pPr>
    </w:p>
    <w:p w:rsidR="003E695D" w:rsidRDefault="003E695D" w:rsidP="005F4A7D">
      <w:pPr>
        <w:rPr>
          <w:rFonts w:ascii="Calibri" w:hAnsi="Calibri" w:cs="Calibri"/>
        </w:rPr>
      </w:pPr>
    </w:p>
    <w:p w:rsidR="00840492" w:rsidRDefault="00840492" w:rsidP="005F4A7D">
      <w:pPr>
        <w:rPr>
          <w:rFonts w:ascii="Calibri" w:hAnsi="Calibri" w:cs="Calibri"/>
        </w:rPr>
      </w:pPr>
    </w:p>
    <w:p w:rsidR="003E695D" w:rsidRPr="005F4A7D" w:rsidRDefault="003E695D"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D9445A" w:rsidRDefault="00D9445A" w:rsidP="00D9445A">
      <w:pPr>
        <w:overflowPunct w:val="0"/>
        <w:autoSpaceDE w:val="0"/>
        <w:autoSpaceDN w:val="0"/>
        <w:adjustRightInd w:val="0"/>
        <w:ind w:left="390"/>
        <w:jc w:val="center"/>
        <w:rPr>
          <w:rFonts w:asciiTheme="minorHAnsi" w:hAnsiTheme="minorHAnsi" w:cstheme="minorHAnsi"/>
          <w:i/>
          <w:sz w:val="20"/>
          <w:szCs w:val="20"/>
        </w:rPr>
      </w:pPr>
    </w:p>
    <w:p w:rsidR="00D9445A" w:rsidRPr="00D9445A" w:rsidRDefault="00D9445A" w:rsidP="00D9445A">
      <w:pPr>
        <w:overflowPunct w:val="0"/>
        <w:autoSpaceDE w:val="0"/>
        <w:autoSpaceDN w:val="0"/>
        <w:adjustRightInd w:val="0"/>
        <w:ind w:left="390"/>
        <w:jc w:val="center"/>
        <w:rPr>
          <w:rFonts w:asciiTheme="minorHAnsi" w:hAnsiTheme="minorHAnsi" w:cstheme="minorHAnsi"/>
          <w:i/>
          <w:sz w:val="20"/>
          <w:szCs w:val="20"/>
        </w:rPr>
      </w:pPr>
      <w:r w:rsidRPr="00D9445A">
        <w:rPr>
          <w:rFonts w:asciiTheme="minorHAnsi" w:hAnsiTheme="minorHAnsi" w:cstheme="minorHAnsi"/>
          <w:i/>
          <w:sz w:val="20"/>
          <w:szCs w:val="20"/>
        </w:rPr>
        <w:t xml:space="preserve">Specyfikacja Warunków Zamówienia została umieszczona </w:t>
      </w:r>
    </w:p>
    <w:p w:rsidR="00D9445A" w:rsidRPr="00D9445A" w:rsidRDefault="00D9445A" w:rsidP="00D9445A">
      <w:pPr>
        <w:overflowPunct w:val="0"/>
        <w:autoSpaceDE w:val="0"/>
        <w:autoSpaceDN w:val="0"/>
        <w:adjustRightInd w:val="0"/>
        <w:ind w:left="390"/>
        <w:jc w:val="center"/>
        <w:rPr>
          <w:rFonts w:asciiTheme="minorHAnsi" w:hAnsiTheme="minorHAnsi" w:cstheme="minorHAnsi"/>
          <w:b/>
          <w:color w:val="000000" w:themeColor="text1"/>
          <w:sz w:val="20"/>
          <w:szCs w:val="20"/>
        </w:rPr>
      </w:pPr>
      <w:r w:rsidRPr="00D9445A">
        <w:rPr>
          <w:rFonts w:asciiTheme="minorHAnsi" w:hAnsiTheme="minorHAnsi" w:cstheme="minorHAnsi"/>
          <w:i/>
          <w:sz w:val="20"/>
          <w:szCs w:val="20"/>
        </w:rPr>
        <w:t xml:space="preserve">na stronie internetowej Zamawiającego: </w:t>
      </w:r>
      <w:hyperlink r:id="rId11" w:history="1">
        <w:r w:rsidRPr="00D9445A">
          <w:rPr>
            <w:rStyle w:val="Hipercze"/>
            <w:rFonts w:asciiTheme="minorHAnsi" w:hAnsiTheme="minorHAnsi" w:cstheme="minorHAnsi"/>
            <w:i/>
            <w:sz w:val="20"/>
            <w:szCs w:val="20"/>
          </w:rPr>
          <w:t>www.bip.osielsko.pl</w:t>
        </w:r>
      </w:hyperlink>
    </w:p>
    <w:p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D9445A" w:rsidRDefault="00D9445A" w:rsidP="00D9445A">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5F4A7D" w:rsidRPr="00D9445A" w:rsidRDefault="00D9445A" w:rsidP="00D9445A">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BF7264" w:rsidRPr="00D06EED" w:rsidRDefault="00D06EED" w:rsidP="00D06EED">
      <w:pPr>
        <w:widowControl w:val="0"/>
        <w:numPr>
          <w:ilvl w:val="0"/>
          <w:numId w:val="1"/>
        </w:numPr>
        <w:autoSpaceDE w:val="0"/>
        <w:autoSpaceDN w:val="0"/>
        <w:adjustRightInd w:val="0"/>
        <w:spacing w:before="120"/>
        <w:ind w:left="720"/>
        <w:jc w:val="both"/>
        <w:rPr>
          <w:rFonts w:ascii="Calibri" w:hAnsi="Calibri"/>
          <w:b/>
          <w:sz w:val="20"/>
        </w:rPr>
      </w:pPr>
      <w:r>
        <w:rPr>
          <w:rFonts w:ascii="Calibri" w:eastAsia="Calibri" w:hAnsi="Calibri" w:cstheme="minorBidi"/>
          <w:color w:val="000000"/>
          <w:sz w:val="20"/>
          <w:szCs w:val="20"/>
          <w:lang w:eastAsia="en-US"/>
        </w:rPr>
        <w:t>Przedmiotem zamówienia jest:</w:t>
      </w:r>
      <w:r>
        <w:rPr>
          <w:rFonts w:ascii="Calibri" w:hAnsi="Calibri"/>
          <w:b/>
          <w:sz w:val="20"/>
        </w:rPr>
        <w:t xml:space="preserve"> </w:t>
      </w:r>
      <w:r w:rsidRPr="00D06EED">
        <w:rPr>
          <w:sz w:val="20"/>
          <w:szCs w:val="20"/>
        </w:rPr>
        <w:t>Wykonanie nakładki asfaltowej na ul. Nowowiejskiej w miejscowości Jarużyn, gmina Osielsko</w:t>
      </w:r>
      <w:r w:rsidR="001B395C" w:rsidRPr="00D06EED">
        <w:rPr>
          <w:rFonts w:asciiTheme="minorHAnsi" w:hAnsiTheme="minorHAnsi"/>
          <w:sz w:val="20"/>
          <w:szCs w:val="20"/>
        </w:rPr>
        <w:t xml:space="preserve"> na odcinku od km 0+000,00 do km 0+502,00</w:t>
      </w:r>
      <w:r w:rsidR="00520975">
        <w:rPr>
          <w:rFonts w:asciiTheme="minorHAnsi" w:hAnsiTheme="minorHAnsi"/>
          <w:sz w:val="20"/>
          <w:szCs w:val="20"/>
        </w:rPr>
        <w:t>:</w:t>
      </w:r>
    </w:p>
    <w:p w:rsidR="001B395C" w:rsidRPr="001B395C" w:rsidRDefault="001B395C" w:rsidP="001B395C">
      <w:pPr>
        <w:pStyle w:val="Akapitzlist"/>
        <w:ind w:left="786"/>
        <w:jc w:val="both"/>
        <w:rPr>
          <w:rFonts w:eastAsia="SimSun"/>
          <w:kern w:val="3"/>
          <w:sz w:val="20"/>
          <w:szCs w:val="20"/>
          <w:lang w:eastAsia="zh-CN" w:bidi="hi-IN"/>
        </w:rPr>
      </w:pPr>
      <w:r w:rsidRPr="001B395C">
        <w:rPr>
          <w:rFonts w:eastAsia="SimSun"/>
          <w:kern w:val="3"/>
          <w:sz w:val="20"/>
          <w:szCs w:val="20"/>
          <w:lang w:eastAsia="zh-CN" w:bidi="hi-IN"/>
        </w:rPr>
        <w:t>-  rozbiórki nawierzchni bitumicznej wraz z podbudową gr.15,0cm -  78,0m</w:t>
      </w:r>
      <w:r w:rsidRPr="001B395C">
        <w:rPr>
          <w:rFonts w:eastAsia="SimSun"/>
          <w:kern w:val="3"/>
          <w:sz w:val="20"/>
          <w:szCs w:val="20"/>
          <w:vertAlign w:val="superscript"/>
          <w:lang w:eastAsia="zh-CN" w:bidi="hi-IN"/>
        </w:rPr>
        <w:t>2</w:t>
      </w:r>
      <w:r w:rsidRPr="001B395C">
        <w:rPr>
          <w:rFonts w:eastAsia="SimSun"/>
          <w:kern w:val="3"/>
          <w:sz w:val="20"/>
          <w:szCs w:val="20"/>
          <w:lang w:eastAsia="zh-CN" w:bidi="hi-IN"/>
        </w:rPr>
        <w:t xml:space="preserve">, </w:t>
      </w:r>
    </w:p>
    <w:p w:rsidR="001B395C" w:rsidRPr="001B395C" w:rsidRDefault="001B395C" w:rsidP="001B395C">
      <w:pPr>
        <w:pStyle w:val="Akapitzlist"/>
        <w:ind w:left="786"/>
        <w:jc w:val="both"/>
        <w:rPr>
          <w:rFonts w:eastAsia="SimSun"/>
          <w:kern w:val="3"/>
          <w:sz w:val="20"/>
          <w:szCs w:val="20"/>
          <w:lang w:eastAsia="zh-CN" w:bidi="hi-IN"/>
        </w:rPr>
      </w:pPr>
      <w:r w:rsidRPr="001B395C">
        <w:rPr>
          <w:rFonts w:eastAsia="SimSun"/>
          <w:kern w:val="3"/>
          <w:sz w:val="20"/>
          <w:szCs w:val="20"/>
          <w:lang w:eastAsia="zh-CN" w:bidi="hi-IN"/>
        </w:rPr>
        <w:t>-  wykonaniu podbudowy zasadniczej z mieszanki KŁSM 0/31,5mm gr. 15,0cm – 78m</w:t>
      </w:r>
      <w:r w:rsidRPr="001B395C">
        <w:rPr>
          <w:rFonts w:eastAsia="SimSun"/>
          <w:kern w:val="3"/>
          <w:sz w:val="20"/>
          <w:szCs w:val="20"/>
          <w:vertAlign w:val="superscript"/>
          <w:lang w:eastAsia="zh-CN" w:bidi="hi-IN"/>
        </w:rPr>
        <w:t>2</w:t>
      </w:r>
      <w:r w:rsidRPr="001B395C">
        <w:rPr>
          <w:rFonts w:eastAsia="SimSun"/>
          <w:kern w:val="3"/>
          <w:sz w:val="20"/>
          <w:szCs w:val="20"/>
          <w:lang w:eastAsia="zh-CN" w:bidi="hi-IN"/>
        </w:rPr>
        <w:t>,</w:t>
      </w:r>
    </w:p>
    <w:p w:rsidR="001B395C" w:rsidRPr="001B395C" w:rsidRDefault="001B395C" w:rsidP="001B395C">
      <w:pPr>
        <w:pStyle w:val="Akapitzlist"/>
        <w:tabs>
          <w:tab w:val="left" w:pos="0"/>
        </w:tabs>
        <w:ind w:left="786"/>
        <w:jc w:val="both"/>
        <w:rPr>
          <w:rFonts w:eastAsia="SimSun"/>
          <w:kern w:val="3"/>
          <w:sz w:val="20"/>
          <w:szCs w:val="20"/>
          <w:lang w:eastAsia="zh-CN" w:bidi="hi-IN"/>
        </w:rPr>
      </w:pPr>
      <w:r w:rsidRPr="001B395C">
        <w:rPr>
          <w:rFonts w:eastAsia="SimSun"/>
          <w:kern w:val="3"/>
          <w:sz w:val="20"/>
          <w:szCs w:val="20"/>
          <w:lang w:eastAsia="zh-CN" w:bidi="hi-IN"/>
        </w:rPr>
        <w:t>-  ułożenie warstwy wiążącej AC11W gr. 5,0cm  – 78m</w:t>
      </w:r>
      <w:r w:rsidRPr="001B395C">
        <w:rPr>
          <w:rFonts w:eastAsia="SimSun"/>
          <w:kern w:val="3"/>
          <w:sz w:val="20"/>
          <w:szCs w:val="20"/>
          <w:vertAlign w:val="superscript"/>
          <w:lang w:eastAsia="zh-CN" w:bidi="hi-IN"/>
        </w:rPr>
        <w:t>2</w:t>
      </w:r>
      <w:r w:rsidRPr="001B395C">
        <w:rPr>
          <w:rFonts w:eastAsia="SimSun"/>
          <w:kern w:val="3"/>
          <w:sz w:val="20"/>
          <w:szCs w:val="20"/>
          <w:lang w:eastAsia="zh-CN" w:bidi="hi-IN"/>
        </w:rPr>
        <w:t>,</w:t>
      </w:r>
    </w:p>
    <w:p w:rsidR="001B395C" w:rsidRPr="001B395C" w:rsidRDefault="001B395C" w:rsidP="001B395C">
      <w:pPr>
        <w:pStyle w:val="Akapitzlist"/>
        <w:ind w:left="786"/>
        <w:jc w:val="both"/>
        <w:rPr>
          <w:rFonts w:eastAsia="SimSun"/>
          <w:kern w:val="3"/>
          <w:sz w:val="20"/>
          <w:szCs w:val="20"/>
          <w:vertAlign w:val="superscript"/>
          <w:lang w:eastAsia="zh-CN" w:bidi="hi-IN"/>
        </w:rPr>
      </w:pPr>
      <w:r w:rsidRPr="001B395C">
        <w:rPr>
          <w:rFonts w:eastAsia="SimSun"/>
          <w:kern w:val="3"/>
          <w:sz w:val="20"/>
          <w:szCs w:val="20"/>
          <w:lang w:eastAsia="zh-CN" w:bidi="hi-IN"/>
        </w:rPr>
        <w:t>-  przygotowanie podłoża i ułożenie warstwy ścieralnej AC11S gr. 5,0cm - 2309m</w:t>
      </w:r>
      <w:r w:rsidRPr="001B395C">
        <w:rPr>
          <w:rFonts w:eastAsia="SimSun"/>
          <w:kern w:val="3"/>
          <w:sz w:val="20"/>
          <w:szCs w:val="20"/>
          <w:vertAlign w:val="superscript"/>
          <w:lang w:eastAsia="zh-CN" w:bidi="hi-IN"/>
        </w:rPr>
        <w:t>2</w:t>
      </w:r>
      <w:r w:rsidRPr="001B395C">
        <w:rPr>
          <w:rFonts w:eastAsia="SimSun"/>
          <w:kern w:val="3"/>
          <w:sz w:val="20"/>
          <w:szCs w:val="20"/>
          <w:lang w:eastAsia="zh-CN" w:bidi="hi-IN"/>
        </w:rPr>
        <w:t xml:space="preserve">, </w:t>
      </w:r>
    </w:p>
    <w:p w:rsidR="001B395C" w:rsidRPr="001B395C" w:rsidRDefault="001B395C" w:rsidP="001B395C">
      <w:pPr>
        <w:pStyle w:val="Akapitzlist"/>
        <w:ind w:left="786"/>
        <w:jc w:val="both"/>
        <w:rPr>
          <w:rFonts w:eastAsia="SimSun"/>
          <w:kern w:val="3"/>
          <w:sz w:val="20"/>
          <w:szCs w:val="20"/>
          <w:vertAlign w:val="superscript"/>
          <w:lang w:eastAsia="zh-CN" w:bidi="hi-IN"/>
        </w:rPr>
      </w:pPr>
      <w:r w:rsidRPr="001B395C">
        <w:rPr>
          <w:rFonts w:eastAsia="SimSun"/>
          <w:kern w:val="3"/>
          <w:sz w:val="20"/>
          <w:szCs w:val="20"/>
          <w:lang w:eastAsia="zh-CN" w:bidi="hi-IN"/>
        </w:rPr>
        <w:t>-  uzupełnienie poboczy z mieszanki KŁSM 0-31,5mm gr. 5,0cm – 1004m</w:t>
      </w:r>
      <w:r w:rsidRPr="001B395C">
        <w:rPr>
          <w:rFonts w:eastAsia="SimSun"/>
          <w:kern w:val="3"/>
          <w:sz w:val="20"/>
          <w:szCs w:val="20"/>
          <w:vertAlign w:val="superscript"/>
          <w:lang w:eastAsia="zh-CN" w:bidi="hi-IN"/>
        </w:rPr>
        <w:t>2</w:t>
      </w:r>
    </w:p>
    <w:p w:rsidR="001B395C" w:rsidRPr="001B395C" w:rsidRDefault="001B395C" w:rsidP="001B395C">
      <w:pPr>
        <w:pStyle w:val="Akapitzlist"/>
        <w:ind w:left="786"/>
        <w:jc w:val="both"/>
        <w:rPr>
          <w:rFonts w:eastAsia="SimSun"/>
          <w:kern w:val="3"/>
          <w:sz w:val="20"/>
          <w:szCs w:val="20"/>
          <w:lang w:eastAsia="zh-CN" w:bidi="hi-IN"/>
        </w:rPr>
      </w:pPr>
      <w:r w:rsidRPr="001B395C">
        <w:rPr>
          <w:rFonts w:eastAsia="SimSun"/>
          <w:kern w:val="3"/>
          <w:sz w:val="20"/>
          <w:szCs w:val="20"/>
          <w:lang w:eastAsia="zh-CN" w:bidi="hi-IN"/>
        </w:rPr>
        <w:t>-  regulacji obudów skrzynek zaworów wodociągowych i gazowych – 5szt,</w:t>
      </w:r>
    </w:p>
    <w:p w:rsidR="001B395C" w:rsidRPr="001B395C" w:rsidRDefault="001B395C" w:rsidP="001B395C">
      <w:pPr>
        <w:pStyle w:val="Akapitzlist"/>
        <w:ind w:left="786"/>
        <w:jc w:val="both"/>
        <w:rPr>
          <w:rFonts w:eastAsia="SimSun"/>
          <w:kern w:val="3"/>
          <w:sz w:val="20"/>
          <w:szCs w:val="20"/>
          <w:lang w:eastAsia="zh-CN" w:bidi="hi-IN"/>
        </w:rPr>
      </w:pPr>
      <w:r w:rsidRPr="001B395C">
        <w:rPr>
          <w:rFonts w:eastAsia="SimSun"/>
          <w:kern w:val="3"/>
          <w:sz w:val="20"/>
          <w:szCs w:val="20"/>
          <w:lang w:eastAsia="zh-CN" w:bidi="hi-IN"/>
        </w:rPr>
        <w:t>-  regulacja wysokościowa kostki rzędowej 9/11 – 12,0m</w:t>
      </w:r>
      <w:r w:rsidRPr="001B395C">
        <w:rPr>
          <w:rFonts w:eastAsia="SimSun"/>
          <w:kern w:val="3"/>
          <w:sz w:val="20"/>
          <w:szCs w:val="20"/>
          <w:vertAlign w:val="superscript"/>
          <w:lang w:eastAsia="zh-CN" w:bidi="hi-IN"/>
        </w:rPr>
        <w:t>2</w:t>
      </w:r>
      <w:r w:rsidRPr="001B395C">
        <w:rPr>
          <w:rFonts w:eastAsia="SimSun"/>
          <w:kern w:val="3"/>
          <w:sz w:val="20"/>
          <w:szCs w:val="20"/>
          <w:lang w:eastAsia="zh-CN" w:bidi="hi-IN"/>
        </w:rPr>
        <w:t>,</w:t>
      </w:r>
    </w:p>
    <w:p w:rsidR="001B395C" w:rsidRPr="001B395C" w:rsidRDefault="001B395C" w:rsidP="001B395C">
      <w:pPr>
        <w:pStyle w:val="Akapitzlist"/>
        <w:ind w:left="786"/>
        <w:jc w:val="both"/>
        <w:rPr>
          <w:rFonts w:eastAsia="SimSun"/>
          <w:kern w:val="3"/>
          <w:sz w:val="20"/>
          <w:szCs w:val="20"/>
          <w:lang w:eastAsia="zh-CN" w:bidi="hi-IN"/>
        </w:rPr>
      </w:pPr>
      <w:r w:rsidRPr="001B395C">
        <w:rPr>
          <w:rFonts w:eastAsia="SimSun"/>
          <w:kern w:val="3"/>
          <w:sz w:val="20"/>
          <w:szCs w:val="20"/>
          <w:lang w:eastAsia="zh-CN" w:bidi="hi-IN"/>
        </w:rPr>
        <w:t>-  utylizacja materiału rozbiórkowego.</w:t>
      </w:r>
    </w:p>
    <w:p w:rsidR="001B395C" w:rsidRPr="001B395C" w:rsidRDefault="001B395C" w:rsidP="001B395C">
      <w:pPr>
        <w:widowControl w:val="0"/>
        <w:autoSpaceDE w:val="0"/>
        <w:autoSpaceDN w:val="0"/>
        <w:adjustRightInd w:val="0"/>
        <w:ind w:left="786"/>
        <w:jc w:val="both"/>
        <w:rPr>
          <w:rFonts w:asciiTheme="minorHAnsi" w:eastAsiaTheme="minorHAnsi" w:hAnsiTheme="minorHAnsi" w:cstheme="minorBidi"/>
          <w:sz w:val="20"/>
          <w:szCs w:val="20"/>
          <w:lang w:eastAsia="en-US"/>
        </w:rPr>
      </w:pPr>
    </w:p>
    <w:p w:rsidR="00BF7264" w:rsidRPr="001B395C" w:rsidRDefault="00BF7264" w:rsidP="00BF7264">
      <w:pPr>
        <w:widowControl w:val="0"/>
        <w:autoSpaceDE w:val="0"/>
        <w:autoSpaceDN w:val="0"/>
        <w:adjustRightInd w:val="0"/>
        <w:ind w:left="720"/>
        <w:jc w:val="both"/>
        <w:rPr>
          <w:rFonts w:asciiTheme="minorHAnsi" w:eastAsia="Calibri" w:hAnsiTheme="minorHAnsi" w:cstheme="minorBidi"/>
          <w:color w:val="FF0000"/>
          <w:sz w:val="20"/>
          <w:szCs w:val="20"/>
          <w:lang w:eastAsia="en-US"/>
        </w:rPr>
      </w:pPr>
    </w:p>
    <w:p w:rsidR="00BF7264" w:rsidRPr="001B395C" w:rsidRDefault="00BF7264" w:rsidP="00BF7264">
      <w:pPr>
        <w:widowControl w:val="0"/>
        <w:autoSpaceDE w:val="0"/>
        <w:autoSpaceDN w:val="0"/>
        <w:adjustRightInd w:val="0"/>
        <w:ind w:left="720"/>
        <w:jc w:val="both"/>
        <w:rPr>
          <w:rFonts w:asciiTheme="minorHAnsi" w:eastAsiaTheme="minorHAnsi" w:hAnsiTheme="minorHAnsi" w:cstheme="minorBidi"/>
          <w:color w:val="FF0000"/>
          <w:sz w:val="20"/>
          <w:szCs w:val="20"/>
          <w:lang w:eastAsia="en-US"/>
        </w:rPr>
      </w:pPr>
    </w:p>
    <w:p w:rsidR="001B395C" w:rsidRDefault="001B395C" w:rsidP="00BF7264">
      <w:pPr>
        <w:widowControl w:val="0"/>
        <w:autoSpaceDE w:val="0"/>
        <w:autoSpaceDN w:val="0"/>
        <w:adjustRightInd w:val="0"/>
        <w:ind w:left="720"/>
        <w:jc w:val="both"/>
        <w:rPr>
          <w:rFonts w:ascii="Calibri" w:eastAsiaTheme="minorHAnsi" w:hAnsi="Calibri" w:cstheme="minorBidi"/>
          <w:color w:val="FF0000"/>
          <w:sz w:val="20"/>
          <w:szCs w:val="20"/>
          <w:lang w:eastAsia="en-US"/>
        </w:rPr>
      </w:pPr>
    </w:p>
    <w:p w:rsidR="001B395C" w:rsidRDefault="001B395C" w:rsidP="00BF7264">
      <w:pPr>
        <w:widowControl w:val="0"/>
        <w:autoSpaceDE w:val="0"/>
        <w:autoSpaceDN w:val="0"/>
        <w:adjustRightInd w:val="0"/>
        <w:ind w:left="720"/>
        <w:jc w:val="both"/>
        <w:rPr>
          <w:rFonts w:ascii="Calibri" w:eastAsiaTheme="minorHAnsi" w:hAnsi="Calibri" w:cstheme="minorBidi"/>
          <w:color w:val="FF0000"/>
          <w:sz w:val="20"/>
          <w:szCs w:val="20"/>
          <w:lang w:eastAsia="en-US"/>
        </w:rPr>
      </w:pPr>
    </w:p>
    <w:p w:rsidR="001B395C" w:rsidRPr="00C541CF" w:rsidRDefault="001B395C" w:rsidP="00BF7264">
      <w:pPr>
        <w:widowControl w:val="0"/>
        <w:autoSpaceDE w:val="0"/>
        <w:autoSpaceDN w:val="0"/>
        <w:adjustRightInd w:val="0"/>
        <w:ind w:left="720"/>
        <w:jc w:val="both"/>
        <w:rPr>
          <w:rFonts w:ascii="Calibri" w:eastAsiaTheme="minorHAnsi" w:hAnsi="Calibri" w:cstheme="minorBidi"/>
          <w:color w:val="FF0000"/>
          <w:sz w:val="20"/>
          <w:szCs w:val="20"/>
          <w:lang w:eastAsia="en-US"/>
        </w:rPr>
      </w:pPr>
    </w:p>
    <w:p w:rsidR="005F4A7D" w:rsidRPr="001B395C" w:rsidRDefault="005F4A7D" w:rsidP="003A1CD0">
      <w:pPr>
        <w:spacing w:before="120"/>
        <w:jc w:val="both"/>
        <w:rPr>
          <w:rFonts w:ascii="Calibri" w:hAnsi="Calibri"/>
          <w:b/>
          <w:sz w:val="20"/>
          <w:szCs w:val="20"/>
          <w:u w:val="single"/>
        </w:rPr>
      </w:pPr>
      <w:r w:rsidRPr="001B395C">
        <w:rPr>
          <w:rFonts w:ascii="Calibri" w:hAnsi="Calibri"/>
          <w:b/>
          <w:sz w:val="20"/>
          <w:szCs w:val="20"/>
          <w:u w:val="single"/>
        </w:rPr>
        <w:t>Uwagi: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Wykonawca zobowiązany do realizacji budowy zadań zgodnie z </w:t>
      </w:r>
      <w:r w:rsidR="0031151B" w:rsidRPr="001B395C">
        <w:rPr>
          <w:rFonts w:asciiTheme="minorHAnsi" w:hAnsiTheme="minorHAnsi" w:cstheme="minorHAnsi"/>
        </w:rPr>
        <w:t>SST</w:t>
      </w:r>
      <w:r w:rsidRPr="001B395C">
        <w:rPr>
          <w:rFonts w:asciiTheme="minorHAnsi" w:hAnsiTheme="minorHAnsi" w:cstheme="minorHAnsi"/>
        </w:rPr>
        <w:t>.</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Theme="minorHAnsi" w:hAnsiTheme="minorHAnsi" w:cstheme="minorHAnsi"/>
          <w:sz w:val="20"/>
          <w:szCs w:val="20"/>
        </w:rPr>
        <w:t>Roboty wykonane zostaną zgodnie z wiedzą i sztuką budowlaną oraz właściwymi przepisami i normami.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Przy przekazaniu placu budowy należy spisać protokół zawierający wykaz ewentualnych przeszkód.</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Zamawiający zobowiązuje się dostarczyć </w:t>
      </w:r>
      <w:r w:rsidR="0070650B" w:rsidRPr="001B395C">
        <w:rPr>
          <w:rFonts w:asciiTheme="minorHAnsi" w:hAnsiTheme="minorHAnsi" w:cstheme="minorHAnsi"/>
        </w:rPr>
        <w:t>mapy z sieciami uzbrojenia</w:t>
      </w:r>
      <w:r w:rsidRPr="001B395C">
        <w:rPr>
          <w:rFonts w:asciiTheme="minorHAnsi" w:hAnsiTheme="minorHAnsi" w:cstheme="minorHAnsi"/>
        </w:rPr>
        <w:t xml:space="preserve"> w dniu przekazania placu budowy.</w:t>
      </w:r>
    </w:p>
    <w:p w:rsidR="005F4A7D" w:rsidRPr="001B395C" w:rsidRDefault="005F4A7D" w:rsidP="007804E7">
      <w:pPr>
        <w:pStyle w:val="Akapitzlist"/>
        <w:numPr>
          <w:ilvl w:val="0"/>
          <w:numId w:val="38"/>
        </w:numPr>
        <w:jc w:val="both"/>
        <w:rPr>
          <w:rFonts w:cstheme="minorHAnsi"/>
          <w:sz w:val="20"/>
          <w:szCs w:val="20"/>
        </w:rPr>
      </w:pPr>
      <w:r w:rsidRPr="001B395C">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Calibri" w:hAnsi="Calibri"/>
          <w:sz w:val="20"/>
          <w:szCs w:val="20"/>
        </w:rPr>
        <w:t>Przekazanie pla</w:t>
      </w:r>
      <w:r w:rsidR="0070650B" w:rsidRPr="001B395C">
        <w:rPr>
          <w:rFonts w:ascii="Calibri" w:hAnsi="Calibri"/>
          <w:sz w:val="20"/>
          <w:szCs w:val="20"/>
        </w:rPr>
        <w:t xml:space="preserve">cu budowy nastąpi w terminie 7 </w:t>
      </w:r>
      <w:r w:rsidRPr="001B395C">
        <w:rPr>
          <w:rFonts w:ascii="Calibri" w:hAnsi="Calibri"/>
          <w:sz w:val="20"/>
          <w:szCs w:val="20"/>
        </w:rPr>
        <w:t>dni od podpisania umowy.</w:t>
      </w:r>
    </w:p>
    <w:p w:rsidR="008E6077" w:rsidRPr="001B395C" w:rsidRDefault="005F4A7D" w:rsidP="007804E7">
      <w:pPr>
        <w:numPr>
          <w:ilvl w:val="0"/>
          <w:numId w:val="38"/>
        </w:numPr>
        <w:spacing w:after="120"/>
        <w:jc w:val="both"/>
        <w:rPr>
          <w:rFonts w:ascii="Calibri" w:hAnsi="Calibri"/>
          <w:sz w:val="20"/>
          <w:szCs w:val="20"/>
        </w:rPr>
      </w:pPr>
      <w:r w:rsidRPr="001B395C">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rsidR="00FA4A67" w:rsidRPr="00641DC2" w:rsidRDefault="00FA4A67" w:rsidP="00FA4A67">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45233220</w:t>
      </w:r>
      <w:r w:rsidRPr="00641DC2">
        <w:rPr>
          <w:rFonts w:ascii="Calibri" w:hAnsi="Calibri"/>
          <w:b/>
          <w:sz w:val="20"/>
          <w:szCs w:val="20"/>
        </w:rPr>
        <w:t>-7</w:t>
      </w:r>
      <w:r w:rsidR="005F4A7D" w:rsidRPr="00641DC2">
        <w:rPr>
          <w:rFonts w:ascii="Calibri" w:hAnsi="Calibri"/>
          <w:b/>
          <w:sz w:val="20"/>
          <w:szCs w:val="20"/>
        </w:rPr>
        <w:t xml:space="preserve"> - </w:t>
      </w:r>
      <w:r w:rsidR="005F4A7D" w:rsidRPr="00641DC2">
        <w:rPr>
          <w:rFonts w:ascii="Calibri" w:hAnsi="Calibri" w:cs="Tahoma"/>
          <w:sz w:val="20"/>
          <w:szCs w:val="20"/>
        </w:rPr>
        <w:t xml:space="preserve">Roboty </w:t>
      </w:r>
      <w:r w:rsidRPr="00641DC2">
        <w:rPr>
          <w:rFonts w:ascii="Calibri" w:hAnsi="Calibri" w:cs="Tahoma"/>
          <w:sz w:val="20"/>
          <w:szCs w:val="20"/>
        </w:rPr>
        <w:t>w zakresie nawierzchni dróg</w:t>
      </w:r>
    </w:p>
    <w:p w:rsidR="008E6077" w:rsidRDefault="008E6077" w:rsidP="00FA4A67">
      <w:pPr>
        <w:widowControl w:val="0"/>
        <w:autoSpaceDE w:val="0"/>
        <w:autoSpaceDN w:val="0"/>
        <w:adjustRightInd w:val="0"/>
        <w:spacing w:before="120" w:after="120" w:line="276" w:lineRule="auto"/>
        <w:jc w:val="both"/>
        <w:rPr>
          <w:rFonts w:cstheme="minorHAnsi"/>
          <w:color w:val="000000" w:themeColor="text1"/>
          <w:sz w:val="20"/>
          <w:szCs w:val="20"/>
        </w:rPr>
      </w:pPr>
      <w:r>
        <w:rPr>
          <w:rFonts w:cstheme="minorHAnsi"/>
          <w:color w:val="000000" w:themeColor="text1"/>
          <w:sz w:val="20"/>
          <w:szCs w:val="20"/>
        </w:rPr>
        <w:t xml:space="preserve">Opis części zamówienia: </w:t>
      </w:r>
    </w:p>
    <w:p w:rsidR="00712F4A" w:rsidRPr="00840492" w:rsidRDefault="008E6077" w:rsidP="008E6077">
      <w:pPr>
        <w:jc w:val="both"/>
        <w:rPr>
          <w:rFonts w:ascii="Calibri" w:hAnsi="Calibri"/>
          <w:sz w:val="20"/>
          <w:szCs w:val="20"/>
          <w:u w:val="single"/>
        </w:rPr>
      </w:pPr>
      <w:r w:rsidRPr="00840492">
        <w:rPr>
          <w:rFonts w:ascii="Calibri" w:hAnsi="Calibri"/>
          <w:sz w:val="20"/>
          <w:szCs w:val="20"/>
          <w:u w:val="single"/>
        </w:rPr>
        <w:t xml:space="preserve">Zamawiający </w:t>
      </w:r>
      <w:r w:rsidR="00C42703" w:rsidRPr="00840492">
        <w:rPr>
          <w:rFonts w:ascii="Calibri" w:hAnsi="Calibri"/>
          <w:sz w:val="20"/>
          <w:szCs w:val="20"/>
          <w:u w:val="single"/>
        </w:rPr>
        <w:t xml:space="preserve">nie </w:t>
      </w:r>
      <w:r w:rsidR="00641DC2" w:rsidRPr="00840492">
        <w:rPr>
          <w:rFonts w:ascii="Calibri" w:hAnsi="Calibri"/>
          <w:sz w:val="20"/>
          <w:szCs w:val="20"/>
          <w:u w:val="single"/>
        </w:rPr>
        <w:t>dopuszcza składania</w:t>
      </w:r>
      <w:r w:rsidRPr="00840492">
        <w:rPr>
          <w:rFonts w:ascii="Calibri" w:hAnsi="Calibri"/>
          <w:sz w:val="20"/>
          <w:szCs w:val="20"/>
          <w:u w:val="single"/>
        </w:rPr>
        <w:t xml:space="preserve"> ofert częściowych</w:t>
      </w:r>
      <w:r w:rsidR="00712F4A" w:rsidRPr="00840492">
        <w:rPr>
          <w:rFonts w:ascii="Calibri" w:hAnsi="Calibri"/>
          <w:sz w:val="20"/>
          <w:szCs w:val="20"/>
          <w:u w:val="single"/>
        </w:rPr>
        <w:t>:</w:t>
      </w:r>
    </w:p>
    <w:p w:rsidR="00D9445A" w:rsidRDefault="00712F4A" w:rsidP="008E6077">
      <w:pPr>
        <w:jc w:val="both"/>
        <w:rPr>
          <w:rFonts w:asciiTheme="minorHAnsi" w:hAnsiTheme="minorHAnsi" w:cstheme="minorHAnsi"/>
          <w:sz w:val="20"/>
          <w:szCs w:val="20"/>
        </w:rPr>
      </w:pPr>
      <w:r w:rsidRPr="00712F4A">
        <w:rPr>
          <w:rFonts w:asciiTheme="minorHAnsi" w:hAnsiTheme="minorHAnsi" w:cstheme="minorHAnsi"/>
          <w:sz w:val="20"/>
          <w:szCs w:val="20"/>
        </w:rPr>
        <w:t xml:space="preserve">Przedmiot zamówienia stanowi zwarty kompleks o charakterze specjalistycznego obiektu budowlanego. </w:t>
      </w:r>
    </w:p>
    <w:p w:rsidR="008E6077" w:rsidRPr="00712F4A" w:rsidRDefault="00712F4A" w:rsidP="008E6077">
      <w:pPr>
        <w:jc w:val="both"/>
        <w:rPr>
          <w:rFonts w:ascii="Calibri" w:hAnsi="Calibri"/>
          <w:sz w:val="20"/>
          <w:szCs w:val="20"/>
        </w:rPr>
      </w:pPr>
      <w:r w:rsidRPr="00712F4A">
        <w:rPr>
          <w:rFonts w:asciiTheme="minorHAnsi" w:hAnsiTheme="minorHAnsi" w:cstheme="minorHAnsi"/>
          <w:sz w:val="20"/>
          <w:szCs w:val="20"/>
        </w:rPr>
        <w:t>Jest objęty jedną dokumentacją projektową. Podzielenie na części groziłoby nadmiernymi trudnościami technicznymi i kosztami wykonania zamówienia</w:t>
      </w:r>
    </w:p>
    <w:p w:rsidR="008E6077" w:rsidRPr="001B395C" w:rsidRDefault="008E6077" w:rsidP="008E6077">
      <w:pPr>
        <w:jc w:val="both"/>
        <w:rPr>
          <w:rFonts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F4A7D" w:rsidRPr="001B395C" w:rsidRDefault="005F4A7D" w:rsidP="005F4A7D">
      <w:pPr>
        <w:spacing w:before="120" w:after="120" w:line="276" w:lineRule="auto"/>
        <w:jc w:val="both"/>
        <w:rPr>
          <w:rFonts w:ascii="Calibri" w:hAnsi="Calibri"/>
          <w:sz w:val="20"/>
          <w:szCs w:val="20"/>
          <w:u w:val="single"/>
        </w:rPr>
      </w:pPr>
      <w:r w:rsidRPr="001B395C">
        <w:rPr>
          <w:rFonts w:ascii="Calibri" w:hAnsi="Calibri"/>
          <w:sz w:val="20"/>
          <w:szCs w:val="20"/>
          <w:u w:val="single"/>
        </w:rPr>
        <w:t>1.</w:t>
      </w:r>
      <w:r w:rsidR="001B395C" w:rsidRPr="001B395C">
        <w:rPr>
          <w:rFonts w:ascii="Calibri" w:hAnsi="Calibri"/>
          <w:sz w:val="20"/>
          <w:szCs w:val="20"/>
          <w:u w:val="single"/>
        </w:rPr>
        <w:t xml:space="preserve"> </w:t>
      </w:r>
      <w:r w:rsidRPr="001B395C">
        <w:rPr>
          <w:rFonts w:ascii="Calibri" w:hAnsi="Calibri"/>
          <w:sz w:val="20"/>
          <w:szCs w:val="20"/>
          <w:u w:val="single"/>
        </w:rPr>
        <w:t xml:space="preserve">Zamawiający wymaga realizacji zamówienia w terminie do: </w:t>
      </w:r>
      <w:r w:rsidR="001B395C" w:rsidRPr="001B395C">
        <w:rPr>
          <w:rFonts w:ascii="Calibri" w:hAnsi="Calibri"/>
          <w:b/>
          <w:bCs/>
          <w:sz w:val="20"/>
          <w:szCs w:val="20"/>
          <w:u w:val="single"/>
        </w:rPr>
        <w:t>3</w:t>
      </w:r>
      <w:r w:rsidR="00FB6A1B" w:rsidRPr="001B395C">
        <w:rPr>
          <w:rFonts w:ascii="Calibri" w:hAnsi="Calibri"/>
          <w:b/>
          <w:bCs/>
          <w:sz w:val="20"/>
          <w:szCs w:val="20"/>
          <w:u w:val="single"/>
        </w:rPr>
        <w:t xml:space="preserve"> miesięcy</w:t>
      </w:r>
      <w:r w:rsidR="00010D00" w:rsidRPr="001B395C">
        <w:rPr>
          <w:rFonts w:ascii="Calibri" w:hAnsi="Calibri"/>
          <w:b/>
          <w:bCs/>
          <w:sz w:val="20"/>
          <w:szCs w:val="20"/>
          <w:u w:val="single"/>
        </w:rPr>
        <w:t xml:space="preserve"> od dnia podpisania umowy</w:t>
      </w:r>
    </w:p>
    <w:p w:rsidR="007E1A34" w:rsidRPr="001B395C" w:rsidRDefault="005F4A7D" w:rsidP="005F4A7D">
      <w:pPr>
        <w:spacing w:before="120" w:after="120" w:line="276" w:lineRule="auto"/>
        <w:jc w:val="both"/>
        <w:rPr>
          <w:rFonts w:ascii="Calibri" w:hAnsi="Calibri"/>
          <w:sz w:val="20"/>
          <w:szCs w:val="20"/>
        </w:rPr>
      </w:pPr>
      <w:r w:rsidRPr="001B395C">
        <w:rPr>
          <w:rFonts w:ascii="Calibri" w:hAnsi="Calibri"/>
          <w:sz w:val="20"/>
          <w:szCs w:val="20"/>
        </w:rPr>
        <w:t>2.</w:t>
      </w:r>
      <w:r w:rsidR="001B395C" w:rsidRPr="001B395C">
        <w:rPr>
          <w:rFonts w:ascii="Calibri" w:hAnsi="Calibri"/>
          <w:sz w:val="20"/>
          <w:szCs w:val="20"/>
        </w:rPr>
        <w:t xml:space="preserve"> </w:t>
      </w:r>
      <w:r w:rsidRPr="001B395C">
        <w:rPr>
          <w:rFonts w:ascii="Calibri" w:hAnsi="Calibri"/>
          <w:sz w:val="20"/>
          <w:szCs w:val="20"/>
        </w:rPr>
        <w:t>Za datę realizacji zamówienia uważa się dzień zgłoszenia gotowości do rozpoczęcia czynności odbiorowych, potwierdzonej przez inspektora na</w:t>
      </w:r>
      <w:r w:rsidR="001B395C" w:rsidRPr="001B395C">
        <w:rPr>
          <w:rFonts w:ascii="Calibri" w:hAnsi="Calibri"/>
          <w:sz w:val="20"/>
          <w:szCs w:val="20"/>
        </w:rPr>
        <w:t>dzoru</w:t>
      </w:r>
      <w:r w:rsidRPr="001B395C">
        <w:rPr>
          <w:rFonts w:ascii="Calibri" w:hAnsi="Calibri"/>
          <w:sz w:val="20"/>
          <w:szCs w:val="20"/>
        </w:rPr>
        <w:t>. Zgłoszenie gotowości do rozpoczęcia czynności odbiorowych może nastąpić po całkowitym zakończeniu robót budowlanych i przekazaniu kompletnego operatu.</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rsidR="005F4A7D" w:rsidRPr="001B395C" w:rsidRDefault="005F4A7D" w:rsidP="005F4A7D">
      <w:pPr>
        <w:autoSpaceDE w:val="0"/>
        <w:autoSpaceDN w:val="0"/>
        <w:adjustRightInd w:val="0"/>
        <w:rPr>
          <w:rFonts w:asciiTheme="minorHAnsi" w:eastAsiaTheme="minorHAnsi" w:hAnsiTheme="minorHAnsi" w:cstheme="minorHAnsi"/>
          <w:b/>
          <w:bCs/>
          <w:i/>
          <w:iCs/>
          <w:sz w:val="20"/>
          <w:szCs w:val="20"/>
          <w:lang w:eastAsia="en-US"/>
        </w:rPr>
      </w:pPr>
      <w:r w:rsidRPr="001B395C">
        <w:rPr>
          <w:rFonts w:asciiTheme="minorHAnsi" w:eastAsiaTheme="minorHAnsi" w:hAnsiTheme="minorHAnsi" w:cstheme="minorHAnsi"/>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70650B" w:rsidRPr="001B395C">
        <w:rPr>
          <w:rFonts w:asciiTheme="minorHAnsi" w:eastAsiaTheme="minorHAnsi" w:hAnsiTheme="minorHAnsi" w:cstheme="minorHAnsi"/>
          <w:sz w:val="20"/>
          <w:szCs w:val="20"/>
          <w:lang w:eastAsia="en-US"/>
        </w:rPr>
        <w:t xml:space="preserve"> </w:t>
      </w:r>
      <w:r w:rsidRPr="001B395C">
        <w:rPr>
          <w:rFonts w:asciiTheme="minorHAnsi" w:eastAsiaTheme="minorHAnsi" w:hAnsiTheme="minorHAnsi" w:cstheme="minorHAnsi"/>
          <w:b/>
          <w:bCs/>
          <w:i/>
          <w:iCs/>
          <w:sz w:val="20"/>
          <w:szCs w:val="20"/>
          <w:lang w:eastAsia="en-US"/>
        </w:rPr>
        <w:t xml:space="preserve">2 roboty budowlane polegające na remoncie </w:t>
      </w:r>
      <w:r w:rsidR="00322A5C" w:rsidRPr="001B395C">
        <w:rPr>
          <w:rFonts w:asciiTheme="minorHAnsi" w:eastAsiaTheme="minorHAnsi" w:hAnsiTheme="minorHAnsi" w:cstheme="minorHAnsi"/>
          <w:b/>
          <w:bCs/>
          <w:i/>
          <w:iCs/>
          <w:sz w:val="20"/>
          <w:szCs w:val="20"/>
          <w:lang w:eastAsia="en-US"/>
        </w:rPr>
        <w:t>nawierzchni bitumicznych dróg</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b/>
          <w:bCs/>
          <w:sz w:val="20"/>
          <w:szCs w:val="20"/>
          <w:lang w:eastAsia="en-US"/>
        </w:rPr>
        <w:t>b) kwalifikacje zawodowe kadry technicznej:</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 xml:space="preserve">Wykonawca powinien wykazać, że dysponuje lub będzie dysponować: </w:t>
      </w:r>
      <w:r w:rsidRPr="001B395C">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1B395C">
        <w:rPr>
          <w:rFonts w:asciiTheme="minorHAnsi" w:eastAsiaTheme="minorHAnsi" w:hAnsiTheme="minorHAnsi" w:cstheme="minorHAnsi"/>
          <w:b/>
          <w:bCs/>
          <w:i/>
          <w:iCs/>
          <w:sz w:val="20"/>
          <w:szCs w:val="20"/>
          <w:lang w:eastAsia="en-US"/>
        </w:rPr>
        <w:t>drogowej</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Pr="00C541CF" w:rsidRDefault="005F4A7D" w:rsidP="005F4A7D">
      <w:pPr>
        <w:autoSpaceDE w:val="0"/>
        <w:autoSpaceDN w:val="0"/>
        <w:adjustRightInd w:val="0"/>
        <w:rPr>
          <w:rFonts w:asciiTheme="minorHAnsi" w:eastAsiaTheme="minorHAnsi" w:hAnsiTheme="minorHAnsi" w:cstheme="minorHAnsi"/>
          <w:color w:val="FF0000"/>
          <w:sz w:val="20"/>
          <w:szCs w:val="20"/>
          <w:lang w:eastAsia="en-US"/>
        </w:rPr>
      </w:pPr>
    </w:p>
    <w:p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5F4A7D" w:rsidRDefault="005F4A7D" w:rsidP="005F4A7D">
      <w:pPr>
        <w:rPr>
          <w:rFonts w:ascii="Calibri" w:hAnsi="Calibri" w:cs="Calibri"/>
          <w:sz w:val="20"/>
          <w:szCs w:val="20"/>
        </w:rPr>
      </w:pP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lastRenderedPageBreak/>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rsidR="007F360D" w:rsidRDefault="007F360D" w:rsidP="005F4A7D">
      <w:pPr>
        <w:ind w:left="400" w:hangingChars="200" w:hanging="400"/>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5F4A7D" w:rsidRPr="00641DC2" w:rsidRDefault="005F4A7D" w:rsidP="005F4A7D">
      <w:pPr>
        <w:pStyle w:val="Akapitzlist"/>
        <w:numPr>
          <w:ilvl w:val="0"/>
          <w:numId w:val="6"/>
        </w:numPr>
        <w:rPr>
          <w:rFonts w:cstheme="minorHAnsi"/>
          <w:sz w:val="20"/>
          <w:szCs w:val="20"/>
        </w:rPr>
      </w:pPr>
      <w:r w:rsidRPr="00641DC2">
        <w:rPr>
          <w:rFonts w:ascii="Calibri" w:eastAsia="Calibri" w:hAnsi="Calibri" w:cs="Calibri"/>
          <w:sz w:val="20"/>
        </w:rPr>
        <w:t>obsługa maszyn i pojazdów;</w:t>
      </w:r>
    </w:p>
    <w:p w:rsidR="005F4A7D" w:rsidRPr="00641DC2" w:rsidRDefault="00554AD7" w:rsidP="005F4A7D">
      <w:pPr>
        <w:pStyle w:val="Akapitzlist"/>
        <w:numPr>
          <w:ilvl w:val="0"/>
          <w:numId w:val="6"/>
        </w:numPr>
        <w:rPr>
          <w:rFonts w:cstheme="minorHAnsi"/>
          <w:sz w:val="20"/>
          <w:szCs w:val="20"/>
        </w:rPr>
      </w:pPr>
      <w:r w:rsidRPr="00641DC2">
        <w:rPr>
          <w:rFonts w:cstheme="minorHAnsi"/>
          <w:sz w:val="20"/>
          <w:szCs w:val="20"/>
        </w:rPr>
        <w:t>roboty drogowe</w:t>
      </w:r>
    </w:p>
    <w:p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remontem nawierzchni bitumicznych</w:t>
      </w:r>
      <w:r w:rsidR="001948E1" w:rsidRPr="00641DC2">
        <w:rPr>
          <w:rFonts w:asciiTheme="minorHAnsi" w:eastAsiaTheme="minorHAnsi" w:hAnsiTheme="minorHAnsi" w:cstheme="minorHAnsi"/>
          <w:b/>
          <w:bCs/>
          <w:sz w:val="20"/>
          <w:szCs w:val="20"/>
          <w:lang w:eastAsia="en-US"/>
        </w:rPr>
        <w:t xml:space="preserve"> dróg</w:t>
      </w:r>
      <w:r w:rsidRPr="00641DC2">
        <w:rPr>
          <w:rFonts w:asciiTheme="minorHAnsi" w:eastAsiaTheme="minorHAnsi" w:hAnsiTheme="minorHAnsi" w:cstheme="minorHAnsi"/>
          <w:b/>
          <w:bCs/>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spacing w:line="263" w:lineRule="exact"/>
        <w:jc w:val="both"/>
        <w:rPr>
          <w:rFonts w:ascii="Calibri" w:eastAsiaTheme="minorHAnsi" w:hAnsi="Calibri" w:cs="Calibri"/>
          <w:sz w:val="22"/>
          <w:szCs w:val="22"/>
          <w:lang w:eastAsia="en-US"/>
        </w:rPr>
      </w:pP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Default="005F4A7D" w:rsidP="005F4A7D">
      <w:pPr>
        <w:tabs>
          <w:tab w:val="left" w:pos="540"/>
        </w:tabs>
        <w:jc w:val="both"/>
        <w:rPr>
          <w:rFonts w:ascii="Calibri" w:eastAsiaTheme="minorHAnsi" w:hAnsi="Calibri" w:cs="Calibri"/>
          <w:color w:val="000000"/>
          <w:sz w:val="20"/>
          <w:szCs w:val="20"/>
          <w:shd w:val="clear" w:color="auto" w:fill="FFFFFF"/>
          <w:lang w:eastAsia="en-US"/>
        </w:rPr>
      </w:pPr>
    </w:p>
    <w:p w:rsidR="00840492" w:rsidRDefault="00840492" w:rsidP="005F4A7D">
      <w:pPr>
        <w:tabs>
          <w:tab w:val="left" w:pos="540"/>
        </w:tabs>
        <w:jc w:val="both"/>
        <w:rPr>
          <w:rFonts w:ascii="Calibri" w:eastAsiaTheme="minorHAnsi" w:hAnsi="Calibri" w:cs="Calibri"/>
          <w:color w:val="000000"/>
          <w:sz w:val="20"/>
          <w:szCs w:val="20"/>
          <w:shd w:val="clear" w:color="auto" w:fill="FFFFFF"/>
          <w:lang w:eastAsia="en-US"/>
        </w:rPr>
      </w:pPr>
    </w:p>
    <w:p w:rsidR="00840492" w:rsidRDefault="00840492" w:rsidP="005F4A7D">
      <w:pPr>
        <w:tabs>
          <w:tab w:val="left" w:pos="540"/>
        </w:tabs>
        <w:jc w:val="both"/>
        <w:rPr>
          <w:rFonts w:ascii="Calibri" w:eastAsiaTheme="minorHAnsi" w:hAnsi="Calibri" w:cs="Calibri"/>
          <w:color w:val="000000"/>
          <w:sz w:val="20"/>
          <w:szCs w:val="20"/>
          <w:shd w:val="clear" w:color="auto" w:fill="FFFFFF"/>
          <w:lang w:eastAsia="en-US"/>
        </w:rPr>
      </w:pPr>
    </w:p>
    <w:p w:rsidR="00840492" w:rsidRDefault="00840492" w:rsidP="005F4A7D">
      <w:pPr>
        <w:tabs>
          <w:tab w:val="left" w:pos="540"/>
        </w:tabs>
        <w:jc w:val="both"/>
        <w:rPr>
          <w:rFonts w:ascii="Calibri" w:eastAsia="Calibri" w:hAnsi="Calibri" w:cs="Calibri"/>
          <w:color w:val="7030A0"/>
          <w:sz w:val="20"/>
          <w:szCs w:val="20"/>
          <w:lang w:eastAsia="en-US"/>
        </w:rPr>
      </w:pP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C50A2F" w:rsidRDefault="00C50A2F" w:rsidP="00C50A2F">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w:t>
      </w:r>
      <w:r w:rsidRPr="00C50A2F">
        <w:rPr>
          <w:rFonts w:asciiTheme="minorHAnsi" w:hAnsiTheme="minorHAnsi" w:cstheme="minorHAnsi"/>
          <w:sz w:val="18"/>
          <w:szCs w:val="18"/>
        </w:rPr>
        <w:t>Dz. U. z 2021 r., poz. 275</w:t>
      </w:r>
      <w:r>
        <w:rPr>
          <w:rFonts w:asciiTheme="minorHAnsi" w:eastAsiaTheme="minorHAnsi" w:hAnsiTheme="minorHAnsi" w:cstheme="minorHAnsi"/>
          <w:color w:val="000000"/>
          <w:sz w:val="20"/>
          <w:szCs w:val="20"/>
          <w:lang w:eastAsia="en-U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C50A2F" w:rsidRDefault="00C50A2F" w:rsidP="00C50A2F">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C50A2F" w:rsidRPr="00D670EB" w:rsidRDefault="00C50A2F" w:rsidP="00D670EB">
      <w:pPr>
        <w:numPr>
          <w:ilvl w:val="0"/>
          <w:numId w:val="11"/>
        </w:numPr>
        <w:autoSpaceDE w:val="0"/>
        <w:autoSpaceDN w:val="0"/>
        <w:adjustRightInd w:val="0"/>
        <w:spacing w:after="8"/>
        <w:rPr>
          <w:rFonts w:asciiTheme="minorHAnsi" w:eastAsiaTheme="minorHAnsi" w:hAnsiTheme="minorHAnsi" w:cstheme="minorHAnsi"/>
          <w:color w:val="1F497D" w:themeColor="text2"/>
          <w:sz w:val="20"/>
          <w:szCs w:val="20"/>
          <w:lang w:eastAsia="en-US"/>
        </w:rPr>
      </w:pPr>
      <w:r w:rsidRPr="00C50A2F">
        <w:rPr>
          <w:rFonts w:asciiTheme="minorHAnsi" w:eastAsiaTheme="minorHAnsi" w:hAnsiTheme="minorHAnsi" w:cstheme="minorHAnsi"/>
          <w:color w:val="000000"/>
          <w:sz w:val="20"/>
          <w:szCs w:val="20"/>
          <w:lang w:eastAsia="en-US"/>
        </w:rPr>
        <w:t xml:space="preserve">c) </w:t>
      </w:r>
      <w:r>
        <w:rPr>
          <w:rFonts w:asciiTheme="minorHAnsi" w:hAnsiTheme="minorHAnsi" w:cstheme="minorHAnsi"/>
          <w:sz w:val="20"/>
          <w:szCs w:val="20"/>
        </w:rPr>
        <w:t>oświadczenie wykonawcy</w:t>
      </w:r>
      <w:r w:rsidR="00E206D2" w:rsidRPr="00E206D2">
        <w:rPr>
          <w:rFonts w:asciiTheme="minorHAnsi" w:hAnsiTheme="minorHAnsi" w:cstheme="minorHAnsi"/>
          <w:sz w:val="20"/>
          <w:szCs w:val="20"/>
        </w:rPr>
        <w:t>(w formie elektronicznej, w postaci elektronicznej opatrzonej podpisem zaufanym lub podpisem osobistym)</w:t>
      </w:r>
      <w:r w:rsidR="00E206D2" w:rsidRPr="00B37983">
        <w:rPr>
          <w:rFonts w:ascii="Cambria" w:hAnsi="Cambria" w:cs="Arial"/>
          <w:szCs w:val="22"/>
        </w:rPr>
        <w:t xml:space="preserve"> </w:t>
      </w:r>
      <w:r w:rsidRPr="00C50A2F">
        <w:rPr>
          <w:rFonts w:asciiTheme="minorHAnsi" w:hAnsiTheme="minorHAnsi" w:cstheme="minorHAnsi"/>
          <w:sz w:val="20"/>
          <w:szCs w:val="20"/>
        </w:rPr>
        <w:t xml:space="preserve"> o aktualności informacji zawartych w oświadczeniu złożonym zgodnie </w:t>
      </w:r>
      <w:r w:rsidR="00D670EB">
        <w:rPr>
          <w:rFonts w:asciiTheme="minorHAnsi" w:hAnsiTheme="minorHAnsi" w:cstheme="minorHAnsi"/>
          <w:sz w:val="20"/>
          <w:szCs w:val="20"/>
        </w:rPr>
        <w:t xml:space="preserve">z </w:t>
      </w:r>
      <w:r w:rsidR="00D670EB" w:rsidRPr="00D670EB">
        <w:rPr>
          <w:rFonts w:asciiTheme="minorHAnsi" w:hAnsiTheme="minorHAnsi" w:cstheme="minorHAnsi"/>
          <w:sz w:val="20"/>
          <w:szCs w:val="20"/>
        </w:rPr>
        <w:t xml:space="preserve">art. 125 ust. 1 ustawy </w:t>
      </w:r>
      <w:proofErr w:type="spellStart"/>
      <w:r w:rsidR="00D670EB" w:rsidRPr="00D670EB">
        <w:rPr>
          <w:rFonts w:asciiTheme="minorHAnsi" w:hAnsiTheme="minorHAnsi" w:cstheme="minorHAnsi"/>
          <w:sz w:val="20"/>
          <w:szCs w:val="20"/>
        </w:rPr>
        <w:t>Pzp</w:t>
      </w:r>
      <w:proofErr w:type="spellEnd"/>
      <w:r w:rsidRPr="00C50A2F">
        <w:rPr>
          <w:rFonts w:asciiTheme="minorHAnsi" w:hAnsiTheme="minorHAnsi" w:cstheme="minorHAnsi"/>
          <w:sz w:val="20"/>
          <w:szCs w:val="20"/>
        </w:rPr>
        <w:t xml:space="preserve"> </w:t>
      </w:r>
      <w:r>
        <w:rPr>
          <w:rFonts w:asciiTheme="minorHAnsi" w:hAnsiTheme="minorHAnsi" w:cstheme="minorHAnsi"/>
          <w:sz w:val="20"/>
          <w:szCs w:val="20"/>
        </w:rPr>
        <w:t>–</w:t>
      </w:r>
      <w:r w:rsidRPr="00C50A2F">
        <w:rPr>
          <w:rFonts w:asciiTheme="minorHAnsi" w:hAnsiTheme="minorHAnsi" w:cstheme="minorHAnsi"/>
          <w:sz w:val="20"/>
          <w:szCs w:val="20"/>
        </w:rPr>
        <w:t xml:space="preserve"> </w:t>
      </w:r>
      <w:r w:rsidRPr="00D670EB">
        <w:rPr>
          <w:rFonts w:asciiTheme="minorHAnsi" w:hAnsiTheme="minorHAnsi" w:cstheme="minorHAnsi"/>
          <w:color w:val="1F497D" w:themeColor="text2"/>
          <w:sz w:val="20"/>
          <w:szCs w:val="20"/>
        </w:rPr>
        <w:t xml:space="preserve">wzór </w:t>
      </w:r>
      <w:r w:rsidRPr="00D670EB">
        <w:rPr>
          <w:rFonts w:asciiTheme="minorHAnsi" w:hAnsiTheme="minorHAnsi" w:cstheme="minorHAnsi"/>
          <w:bCs/>
          <w:color w:val="1F497D" w:themeColor="text2"/>
          <w:sz w:val="20"/>
          <w:szCs w:val="20"/>
        </w:rPr>
        <w:t xml:space="preserve">załącznik nr </w:t>
      </w:r>
      <w:r w:rsidR="00D670EB" w:rsidRPr="00D670EB">
        <w:rPr>
          <w:rFonts w:asciiTheme="minorHAnsi" w:hAnsiTheme="minorHAnsi" w:cstheme="minorHAnsi"/>
          <w:bCs/>
          <w:color w:val="1F497D" w:themeColor="text2"/>
          <w:sz w:val="20"/>
          <w:szCs w:val="20"/>
        </w:rPr>
        <w:t>8</w:t>
      </w:r>
      <w:r w:rsidRPr="00D670EB">
        <w:rPr>
          <w:rFonts w:asciiTheme="minorHAnsi" w:hAnsiTheme="minorHAnsi" w:cstheme="minorHAnsi"/>
          <w:bCs/>
          <w:color w:val="1F497D" w:themeColor="text2"/>
          <w:sz w:val="20"/>
          <w:szCs w:val="20"/>
        </w:rPr>
        <w:t xml:space="preserve"> do SWZ;</w:t>
      </w:r>
    </w:p>
    <w:p w:rsidR="005F4A7D" w:rsidRPr="001B395C"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sidRPr="007C18CC">
        <w:rPr>
          <w:rFonts w:asciiTheme="minorHAnsi" w:eastAsiaTheme="minorHAnsi" w:hAnsiTheme="minorHAnsi" w:cstheme="minorHAnsi"/>
          <w:bCs/>
          <w:sz w:val="20"/>
          <w:szCs w:val="20"/>
          <w:lang w:eastAsia="en-US"/>
        </w:rPr>
        <w:t xml:space="preserve">1.2) </w:t>
      </w:r>
      <w:r w:rsidRPr="001B395C">
        <w:rPr>
          <w:b/>
          <w:bCs/>
          <w:sz w:val="20"/>
          <w:szCs w:val="20"/>
        </w:rPr>
        <w:t>potwierdzających spełnianie warunków udziału w postępowaniu dotyczących zdolności technicznej lub zawodowej (doświadczenie, kwalifikacje zawodowe kadry technicznej):</w:t>
      </w:r>
    </w:p>
    <w:p w:rsidR="005F4A7D" w:rsidRPr="001B395C" w:rsidRDefault="005F4A7D" w:rsidP="005F4A7D">
      <w:pPr>
        <w:numPr>
          <w:ilvl w:val="0"/>
          <w:numId w:val="12"/>
        </w:numPr>
        <w:jc w:val="both"/>
        <w:rPr>
          <w:rFonts w:ascii="Calibri" w:hAnsi="Calibri" w:cs="Calibri"/>
          <w:sz w:val="20"/>
          <w:szCs w:val="20"/>
        </w:rPr>
      </w:pPr>
      <w:r w:rsidRPr="001B395C">
        <w:rPr>
          <w:rFonts w:ascii="Calibri" w:hAnsi="Calibri" w:cs="Calibri"/>
          <w:b/>
          <w:bCs/>
          <w:sz w:val="20"/>
          <w:szCs w:val="20"/>
          <w:u w:val="single"/>
        </w:rPr>
        <w:t>wykazu robót budowlanych</w:t>
      </w:r>
      <w:r w:rsidRPr="001B395C">
        <w:rPr>
          <w:rFonts w:ascii="Calibri" w:hAnsi="Calibri" w:cs="Calibri"/>
          <w:sz w:val="20"/>
          <w:szCs w:val="20"/>
        </w:rPr>
        <w:t xml:space="preserve"> wykonanych nie wcześniej niż w okresie ostatnich </w:t>
      </w:r>
      <w:r w:rsidRPr="001B395C">
        <w:rPr>
          <w:rFonts w:ascii="Calibri" w:hAnsi="Calibri" w:cs="Calibri"/>
          <w:b/>
          <w:bCs/>
          <w:sz w:val="20"/>
          <w:szCs w:val="20"/>
        </w:rPr>
        <w:t>5 lat</w:t>
      </w:r>
      <w:r w:rsidRPr="001B395C">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9732A9" w:rsidRPr="00D670EB">
        <w:rPr>
          <w:rFonts w:ascii="Calibri" w:hAnsi="Calibri" w:cs="Calibri"/>
          <w:color w:val="1F497D" w:themeColor="text2"/>
          <w:sz w:val="20"/>
          <w:szCs w:val="20"/>
        </w:rPr>
        <w:t>wzór załącznik nr 4</w:t>
      </w:r>
      <w:r w:rsidRPr="00D670EB">
        <w:rPr>
          <w:rFonts w:ascii="Calibri" w:hAnsi="Calibri" w:cs="Calibri"/>
          <w:color w:val="1F497D" w:themeColor="text2"/>
          <w:sz w:val="20"/>
          <w:szCs w:val="20"/>
        </w:rPr>
        <w:t xml:space="preserve"> do SWZ;</w:t>
      </w:r>
    </w:p>
    <w:p w:rsidR="005F4A7D" w:rsidRPr="00D670EB" w:rsidRDefault="005F4A7D" w:rsidP="00D670EB">
      <w:pPr>
        <w:numPr>
          <w:ilvl w:val="0"/>
          <w:numId w:val="12"/>
        </w:numPr>
        <w:jc w:val="both"/>
        <w:rPr>
          <w:rFonts w:ascii="Calibri" w:hAnsi="Calibri" w:cs="Calibri"/>
          <w:sz w:val="20"/>
          <w:szCs w:val="20"/>
        </w:rPr>
      </w:pPr>
      <w:r w:rsidRPr="001B395C">
        <w:rPr>
          <w:rFonts w:ascii="Calibri" w:hAnsi="Calibri" w:cs="Calibri"/>
          <w:b/>
          <w:bCs/>
          <w:sz w:val="20"/>
          <w:szCs w:val="20"/>
          <w:u w:val="single"/>
        </w:rPr>
        <w:t>wykazu osób</w:t>
      </w:r>
      <w:r w:rsidRPr="001B395C">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732A9" w:rsidRPr="00D670EB">
        <w:rPr>
          <w:rFonts w:ascii="Calibri" w:hAnsi="Calibri" w:cs="Calibri"/>
          <w:color w:val="1F497D" w:themeColor="text2"/>
          <w:sz w:val="20"/>
          <w:szCs w:val="20"/>
        </w:rPr>
        <w:t>wzór załącznik nr 5</w:t>
      </w:r>
      <w:r w:rsidRPr="00D670EB">
        <w:rPr>
          <w:rFonts w:ascii="Calibri" w:hAnsi="Calibri" w:cs="Calibri"/>
          <w:color w:val="1F497D" w:themeColor="text2"/>
          <w:sz w:val="20"/>
          <w:szCs w:val="20"/>
        </w:rPr>
        <w:t xml:space="preserve"> do SWZ;</w:t>
      </w:r>
    </w:p>
    <w:p w:rsidR="007F360D" w:rsidRDefault="007F360D" w:rsidP="005F4A7D">
      <w:pPr>
        <w:ind w:left="360"/>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5"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rPr>
      </w:pPr>
      <w:r w:rsidRPr="003A1CD0">
        <w:rPr>
          <w:rFonts w:asciiTheme="minorHAnsi" w:eastAsia="CIDFont" w:hAnsiTheme="minorHAnsi" w:cstheme="minorHAnsi"/>
          <w:color w:val="000000"/>
          <w:sz w:val="20"/>
          <w:szCs w:val="20"/>
          <w:lang w:eastAsia="zh-CN"/>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rPr>
        <w:t>„Formularza do komunikacji”</w:t>
      </w:r>
      <w:r w:rsidRPr="003A1CD0">
        <w:rPr>
          <w:rFonts w:asciiTheme="minorHAnsi" w:eastAsia="CIDFont" w:hAnsiTheme="minorHAnsi" w:cstheme="minorHAnsi"/>
          <w:color w:val="000000"/>
          <w:sz w:val="20"/>
          <w:szCs w:val="20"/>
          <w:lang w:eastAsia="zh-CN"/>
        </w:rPr>
        <w:t xml:space="preserve"> jako załączniki. </w:t>
      </w:r>
    </w:p>
    <w:p w:rsidR="005F4A7D" w:rsidRPr="003A1CD0" w:rsidRDefault="005F4A7D" w:rsidP="005F4A7D">
      <w:pPr>
        <w:jc w:val="both"/>
        <w:rPr>
          <w:rFonts w:asciiTheme="minorHAnsi" w:eastAsia="CIDFont" w:hAnsiTheme="minorHAnsi" w:cstheme="minorHAnsi"/>
          <w:color w:val="000000"/>
          <w:sz w:val="20"/>
          <w:szCs w:val="20"/>
          <w:lang w:eastAsia="zh-CN"/>
        </w:rPr>
      </w:pPr>
    </w:p>
    <w:p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rPr>
        <w:t xml:space="preserve">Zamawiający dopuszcza również możliwość składania dokumentów elektronicznych </w:t>
      </w:r>
      <w:r>
        <w:rPr>
          <w:rFonts w:asciiTheme="minorHAnsi" w:eastAsia="CIDFont" w:hAnsiTheme="minorHAnsi" w:cstheme="minorHAnsi"/>
          <w:color w:val="000000"/>
          <w:sz w:val="20"/>
          <w:szCs w:val="20"/>
          <w:lang w:eastAsia="zh-CN"/>
        </w:rPr>
        <w:t xml:space="preserve">(z wyłączeniem oferty) </w:t>
      </w:r>
      <w:r w:rsidRPr="003A1CD0">
        <w:rPr>
          <w:rFonts w:asciiTheme="minorHAnsi" w:eastAsia="CIDFont" w:hAnsiTheme="minorHAnsi" w:cstheme="minorHAnsi"/>
          <w:color w:val="000000"/>
          <w:sz w:val="20"/>
          <w:szCs w:val="20"/>
          <w:lang w:eastAsia="zh-CN"/>
        </w:rPr>
        <w:t xml:space="preserve">za pomocą poczty elektronicznej, </w:t>
      </w:r>
      <w:r w:rsidRPr="003A1CD0">
        <w:rPr>
          <w:rFonts w:asciiTheme="minorHAnsi" w:hAnsiTheme="minorHAnsi" w:cstheme="minorHAnsi"/>
          <w:sz w:val="20"/>
          <w:szCs w:val="20"/>
        </w:rPr>
        <w:t xml:space="preserve">adres e-mail: </w:t>
      </w:r>
      <w:hyperlink r:id="rId16"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rPr>
        <w:t xml:space="preserve">Sposób sporządzenia dokumentów elektronicznych musi być zgody z wymaganiami określonymi w rozporządzeniu Prezesa Rady Ministrów z dnia 30 grudnia 2020 r. w sprawie sposobu sporządzania i przekazywania informacji oraz </w:t>
      </w:r>
      <w:r w:rsidRPr="003A1CD0">
        <w:rPr>
          <w:rFonts w:asciiTheme="minorHAnsi" w:eastAsia="CIDFont" w:hAnsiTheme="minorHAnsi" w:cstheme="minorHAnsi"/>
          <w:color w:val="000000"/>
          <w:sz w:val="20"/>
          <w:szCs w:val="20"/>
          <w:lang w:eastAsia="zh-CN"/>
        </w:rPr>
        <w:lastRenderedPageBreak/>
        <w:t xml:space="preserve">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F4A7D" w:rsidRPr="003A1CD0" w:rsidRDefault="005F4A7D" w:rsidP="005F4A7D">
      <w:pPr>
        <w:tabs>
          <w:tab w:val="left" w:pos="360"/>
          <w:tab w:val="left" w:pos="540"/>
        </w:tabs>
        <w:jc w:val="both"/>
        <w:rPr>
          <w:rFonts w:asciiTheme="minorHAnsi" w:hAnsiTheme="minorHAnsi" w:cstheme="minorHAnsi"/>
          <w:b/>
          <w:sz w:val="20"/>
          <w:szCs w:val="20"/>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712F4A">
        <w:rPr>
          <w:rStyle w:val="Teksttreci2"/>
          <w:rFonts w:ascii="Calibri" w:eastAsiaTheme="majorEastAsia" w:hAnsi="Calibri" w:cs="Calibri"/>
          <w:b/>
          <w:sz w:val="20"/>
          <w:szCs w:val="20"/>
        </w:rPr>
        <w:t>1</w:t>
      </w:r>
      <w:r w:rsidR="005C517D">
        <w:rPr>
          <w:rStyle w:val="Teksttreci2"/>
          <w:rFonts w:ascii="Calibri" w:eastAsiaTheme="majorEastAsia" w:hAnsi="Calibri" w:cs="Calibri"/>
          <w:b/>
          <w:sz w:val="20"/>
          <w:szCs w:val="20"/>
        </w:rPr>
        <w:t>0</w:t>
      </w:r>
      <w:r w:rsidR="007F360D" w:rsidRPr="00C65F25">
        <w:rPr>
          <w:rStyle w:val="Teksttreci2"/>
          <w:rFonts w:ascii="Calibri" w:eastAsiaTheme="majorEastAsia" w:hAnsi="Calibri" w:cs="Calibri"/>
          <w:b/>
          <w:sz w:val="20"/>
          <w:szCs w:val="20"/>
        </w:rPr>
        <w:t>.0</w:t>
      </w:r>
      <w:r w:rsidR="00712F4A">
        <w:rPr>
          <w:rStyle w:val="Teksttreci2"/>
          <w:rFonts w:ascii="Calibri" w:eastAsiaTheme="majorEastAsia" w:hAnsi="Calibri" w:cs="Calibri"/>
          <w:b/>
          <w:sz w:val="20"/>
          <w:szCs w:val="20"/>
        </w:rPr>
        <w:t>5</w:t>
      </w:r>
      <w:r w:rsidR="007F360D" w:rsidRPr="00C65F25">
        <w:rPr>
          <w:rStyle w:val="Teksttreci2"/>
          <w:rFonts w:ascii="Calibri" w:eastAsiaTheme="majorEastAsia" w:hAnsi="Calibri" w:cs="Calibri"/>
          <w:b/>
          <w:sz w:val="20"/>
          <w:szCs w:val="20"/>
        </w:rPr>
        <w:t>.202</w:t>
      </w:r>
      <w:r w:rsidR="00712F4A">
        <w:rPr>
          <w:rStyle w:val="Teksttreci2"/>
          <w:rFonts w:ascii="Calibri" w:eastAsiaTheme="majorEastAsia" w:hAnsi="Calibri" w:cs="Calibri"/>
          <w:b/>
          <w:sz w:val="20"/>
          <w:szCs w:val="20"/>
        </w:rPr>
        <w:t>2</w:t>
      </w:r>
      <w:r w:rsidR="007F360D" w:rsidRPr="00C65F25">
        <w:rPr>
          <w:rStyle w:val="Teksttreci2"/>
          <w:rFonts w:ascii="Calibri" w:eastAsiaTheme="majorEastAsia" w:hAnsi="Calibri" w:cs="Calibri"/>
          <w:b/>
          <w:sz w:val="20"/>
          <w:szCs w:val="20"/>
        </w:rPr>
        <w:t xml:space="preserve"> r.</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5F4A7D" w:rsidRPr="007C18CC"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7C18CC" w:rsidRPr="00C65F25" w:rsidRDefault="005F4A7D" w:rsidP="00C65F25">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840492" w:rsidRPr="00C65F25" w:rsidRDefault="00182612" w:rsidP="00520975">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7" w:history="1">
        <w:r w:rsidRPr="003A1CD0">
          <w:rPr>
            <w:rStyle w:val="Hipercze"/>
            <w:rFonts w:asciiTheme="minorHAnsi" w:eastAsia="CIDFont" w:hAnsiTheme="minorHAnsi" w:cstheme="minorHAnsi"/>
            <w:sz w:val="20"/>
            <w:szCs w:val="20"/>
            <w:lang w:eastAsia="zh-CN"/>
          </w:rPr>
          <w:t>https://miniportal.uzp.gov.pl/</w:t>
        </w:r>
      </w:hyperlink>
      <w:r w:rsidRPr="003A1CD0">
        <w:rPr>
          <w:rFonts w:asciiTheme="minorHAnsi" w:eastAsia="CIDFont" w:hAnsiTheme="minorHAnsi" w:cstheme="minorHAnsi"/>
          <w:color w:val="000000"/>
          <w:sz w:val="20"/>
          <w:szCs w:val="20"/>
          <w:lang w:eastAsia="zh-CN"/>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rPr>
        <w:t xml:space="preserve">Po jej podaniu w formularzu, adres skrzynki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Zamawiającego automatycznie pojawi się w odpowiednim polu formularza. </w:t>
      </w:r>
    </w:p>
    <w:p w:rsidR="005F4A7D" w:rsidRPr="003A1CD0" w:rsidRDefault="005F4A7D" w:rsidP="005F4A7D">
      <w:pPr>
        <w:ind w:leftChars="98" w:left="235" w:firstLine="6"/>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odpowiada Wykonawca.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rPr>
        <w:t>„załączniku 2 i 3 do SWZ”</w:t>
      </w:r>
      <w:r w:rsidRPr="003A1CD0">
        <w:rPr>
          <w:rFonts w:ascii="Calibri" w:eastAsia="CIDFont" w:hAnsi="Calibri" w:cs="Calibri"/>
          <w:color w:val="000000"/>
          <w:sz w:val="20"/>
          <w:szCs w:val="20"/>
          <w:lang w:eastAsia="zh-CN"/>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rPr>
        <w:t>PAdES</w:t>
      </w:r>
      <w:proofErr w:type="spellEnd"/>
      <w:r w:rsidRPr="003A1CD0">
        <w:rPr>
          <w:rFonts w:ascii="Calibri" w:eastAsia="SimSun" w:hAnsi="Calibri" w:cs="Calibri"/>
          <w:color w:val="000000"/>
          <w:sz w:val="20"/>
          <w:szCs w:val="20"/>
          <w:lang w:eastAsia="zh-CN"/>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zewnętrznym, należy pamiętać aby przekazać zarówno podpisywane oświadczenie lub dokument oraz plik podpisu zewnętrznego. </w:t>
      </w:r>
    </w:p>
    <w:p w:rsidR="005F4A7D" w:rsidRPr="003A1CD0" w:rsidRDefault="005F4A7D" w:rsidP="005F4A7D">
      <w:pPr>
        <w:ind w:leftChars="99" w:left="238"/>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Opatrzenie oświadczeń lub dokumentów podpisem zaufanym możliwe jest w serwisie gov.pl pod adresem: </w:t>
      </w:r>
      <w:hyperlink r:id="rId18" w:history="1">
        <w:r w:rsidRPr="003A1CD0">
          <w:rPr>
            <w:rStyle w:val="Hipercze"/>
            <w:rFonts w:ascii="Calibri" w:eastAsia="SimSun" w:hAnsi="Calibri" w:cs="Calibri"/>
            <w:sz w:val="20"/>
            <w:szCs w:val="20"/>
            <w:lang w:eastAsia="zh-CN"/>
          </w:rPr>
          <w:t>https://www.gov.pl/web/gov/podpisz-dokument-elektronicznie-wykorzystajpodpis-zaufany</w:t>
        </w:r>
      </w:hyperlink>
      <w:r w:rsidRPr="003A1CD0">
        <w:rPr>
          <w:rFonts w:ascii="Calibri" w:eastAsia="SimSun" w:hAnsi="Calibri" w:cs="Calibri"/>
          <w:color w:val="0563C1"/>
          <w:sz w:val="20"/>
          <w:szCs w:val="20"/>
          <w:lang w:eastAsia="zh-CN"/>
        </w:rPr>
        <w:t xml:space="preserve"> </w:t>
      </w:r>
      <w:r w:rsidRPr="003A1CD0">
        <w:rPr>
          <w:rFonts w:ascii="Calibri" w:eastAsia="SimSun" w:hAnsi="Calibri" w:cs="Calibri"/>
          <w:color w:val="000000"/>
          <w:sz w:val="20"/>
          <w:szCs w:val="20"/>
          <w:lang w:eastAsia="zh-CN"/>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Szczegóły dotyczące zakładania profilu zaufanego znajdują się na stronie serwisu gov.pl pod adresem: </w:t>
      </w:r>
      <w:hyperlink r:id="rId19" w:history="1">
        <w:r w:rsidRPr="003A1CD0">
          <w:rPr>
            <w:rStyle w:val="Hipercze"/>
            <w:rFonts w:ascii="Calibri" w:eastAsia="SimSun" w:hAnsi="Calibri" w:cs="Calibri"/>
            <w:sz w:val="20"/>
            <w:szCs w:val="20"/>
            <w:lang w:eastAsia="zh-CN"/>
          </w:rPr>
          <w:t>https://www.gov.pl/web/gov/zaloz-profil-zaufany</w:t>
        </w:r>
      </w:hyperlink>
      <w:r w:rsidRPr="003A1CD0">
        <w:rPr>
          <w:rFonts w:ascii="Calibri" w:eastAsia="SimSun" w:hAnsi="Calibri" w:cs="Calibri"/>
          <w:color w:val="0563C1"/>
          <w:sz w:val="20"/>
          <w:szCs w:val="20"/>
          <w:lang w:eastAsia="zh-CN"/>
        </w:rPr>
        <w:t xml:space="preserve"> </w:t>
      </w:r>
    </w:p>
    <w:p w:rsidR="005F4A7D" w:rsidRPr="003A1CD0"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563C1"/>
          <w:sz w:val="20"/>
          <w:szCs w:val="20"/>
          <w:lang w:eastAsia="zh-CN"/>
        </w:rPr>
      </w:pPr>
      <w:r w:rsidRPr="003A1CD0">
        <w:rPr>
          <w:rFonts w:ascii="Calibri" w:eastAsia="SimSun" w:hAnsi="Calibri" w:cs="Calibri"/>
          <w:color w:val="000000"/>
          <w:sz w:val="20"/>
          <w:szCs w:val="20"/>
          <w:lang w:eastAsia="zh-CN"/>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20" w:history="1">
        <w:r w:rsidRPr="003A1CD0">
          <w:rPr>
            <w:rStyle w:val="Hipercze"/>
            <w:rFonts w:ascii="Calibri" w:eastAsia="SimSun" w:hAnsi="Calibri" w:cs="Calibri"/>
            <w:sz w:val="20"/>
            <w:szCs w:val="20"/>
            <w:lang w:eastAsia="zh-CN"/>
          </w:rPr>
          <w:t>https://www.gov.pl/web/e-dowod/podpis-osobisty</w:t>
        </w:r>
      </w:hyperlink>
      <w:r w:rsidRPr="003A1CD0">
        <w:rPr>
          <w:rFonts w:ascii="Calibri" w:eastAsia="SimSun" w:hAnsi="Calibri" w:cs="Calibri"/>
          <w:color w:val="0563C1"/>
          <w:sz w:val="20"/>
          <w:szCs w:val="20"/>
          <w:lang w:eastAsia="zh-CN"/>
        </w:rPr>
        <w:t xml:space="preserve"> </w:t>
      </w:r>
    </w:p>
    <w:p w:rsidR="005F4A7D" w:rsidRDefault="005F4A7D" w:rsidP="005F4A7D">
      <w:pPr>
        <w:ind w:leftChars="99" w:left="238"/>
        <w:jc w:val="both"/>
        <w:rPr>
          <w:rFonts w:ascii="Calibri" w:eastAsia="SimSun" w:hAnsi="Calibri" w:cs="Calibri"/>
          <w:color w:val="0563C1"/>
          <w:sz w:val="20"/>
          <w:szCs w:val="20"/>
          <w:lang w:eastAsia="zh-CN"/>
        </w:rPr>
      </w:pPr>
    </w:p>
    <w:p w:rsidR="005F4A7D" w:rsidRPr="00311BA8" w:rsidRDefault="005F4A7D" w:rsidP="00B63FD2">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rPr>
        <w:lastRenderedPageBreak/>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rPr>
        <w:t>miniPortalu</w:t>
      </w:r>
      <w:proofErr w:type="spellEnd"/>
      <w:r w:rsidRPr="00311BA8">
        <w:rPr>
          <w:rFonts w:ascii="Calibri" w:eastAsia="SimSun" w:hAnsi="Calibri" w:cs="Calibri"/>
          <w:color w:val="000000"/>
          <w:sz w:val="20"/>
          <w:szCs w:val="20"/>
          <w:lang w:eastAsia="zh-CN"/>
        </w:rPr>
        <w:t xml:space="preserve"> pod adresem: </w:t>
      </w:r>
      <w:hyperlink r:id="rId21" w:history="1">
        <w:r w:rsidR="00B63FD2" w:rsidRPr="00B63FD2">
          <w:rPr>
            <w:rStyle w:val="Hipercze"/>
            <w:rFonts w:asciiTheme="minorHAnsi" w:hAnsiTheme="minorHAnsi" w:cstheme="minorHAnsi"/>
            <w:sz w:val="20"/>
            <w:szCs w:val="20"/>
          </w:rPr>
          <w:t>https://miniportal.uzp.gov.pl/Postepowania/14740549-1fb7-452b-be01-b8d33c159586</w:t>
        </w:r>
      </w:hyperlink>
      <w:r w:rsidR="00B63FD2" w:rsidRPr="00B63FD2">
        <w:rPr>
          <w:rFonts w:asciiTheme="minorHAnsi" w:hAnsiTheme="minorHAnsi" w:cstheme="minorHAnsi"/>
          <w:sz w:val="20"/>
          <w:szCs w:val="20"/>
        </w:rPr>
        <w:t xml:space="preserve"> </w:t>
      </w:r>
      <w:r w:rsidR="00414029">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rPr>
        <w:t xml:space="preserve"> </w:t>
      </w:r>
      <w:r w:rsidRPr="00311BA8">
        <w:rPr>
          <w:rFonts w:ascii="Calibri" w:eastAsia="SimSun" w:hAnsi="Calibri" w:cs="Calibri"/>
          <w:color w:val="000000"/>
          <w:sz w:val="20"/>
          <w:szCs w:val="20"/>
          <w:lang w:eastAsia="zh-CN"/>
        </w:rPr>
        <w:t xml:space="preserve"> za pomocą aktywnego pola „Wybierz pliki do zaszyfrowania”. </w:t>
      </w:r>
    </w:p>
    <w:p w:rsidR="005F4A7D" w:rsidRPr="003A1CD0" w:rsidRDefault="005F4A7D" w:rsidP="005F4A7D">
      <w:pPr>
        <w:jc w:val="both"/>
        <w:rPr>
          <w:rFonts w:ascii="Calibri" w:eastAsia="SimSun" w:hAnsi="Calibri" w:cs="Calibri"/>
          <w:color w:val="000000"/>
          <w:sz w:val="20"/>
          <w:szCs w:val="20"/>
          <w:lang w:eastAsia="zh-CN"/>
        </w:rPr>
      </w:pPr>
    </w:p>
    <w:p w:rsidR="005F4A7D" w:rsidRPr="008E6314"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rPr>
        <w:t xml:space="preserve">„tajemnica przedsiębiorstwa”). </w:t>
      </w:r>
    </w:p>
    <w:p w:rsidR="005F4A7D" w:rsidRPr="008E6314"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rPr>
        <w:t>miniPortalu</w:t>
      </w:r>
      <w:proofErr w:type="spellEnd"/>
      <w:r w:rsidRPr="003A1CD0">
        <w:rPr>
          <w:rFonts w:ascii="Calibri" w:eastAsia="SimSun" w:hAnsi="Calibri" w:cs="Calibri"/>
          <w:color w:val="000000"/>
          <w:sz w:val="20"/>
          <w:szCs w:val="20"/>
          <w:lang w:eastAsia="zh-CN"/>
        </w:rPr>
        <w:t xml:space="preserve"> pod adresem: </w:t>
      </w:r>
    </w:p>
    <w:p w:rsidR="005F4A7D" w:rsidRPr="003A1CD0" w:rsidRDefault="00B63FD2" w:rsidP="005F4A7D">
      <w:pPr>
        <w:ind w:leftChars="99" w:left="238"/>
        <w:jc w:val="both"/>
        <w:rPr>
          <w:rFonts w:ascii="Calibri" w:eastAsia="SimSun" w:hAnsi="Calibri" w:cs="Calibri"/>
          <w:color w:val="000000"/>
          <w:sz w:val="20"/>
          <w:szCs w:val="20"/>
          <w:lang w:eastAsia="zh-CN"/>
        </w:rPr>
      </w:pPr>
      <w:hyperlink r:id="rId22" w:history="1">
        <w:r w:rsidRPr="00B63FD2">
          <w:rPr>
            <w:rStyle w:val="Hipercze"/>
            <w:rFonts w:asciiTheme="minorHAnsi" w:hAnsiTheme="minorHAnsi" w:cstheme="minorHAnsi"/>
            <w:sz w:val="20"/>
            <w:szCs w:val="20"/>
          </w:rPr>
          <w:t>https://miniportal.uzp.gov.pl/Postepowania/14740549-1fb7-452b-be01-b8d33c159586</w:t>
        </w:r>
      </w:hyperlink>
      <w:r w:rsidR="00311BA8">
        <w:rPr>
          <w:rFonts w:ascii="Calibri" w:eastAsia="SimSun" w:hAnsi="Calibri" w:cs="Calibri"/>
          <w:color w:val="000000"/>
          <w:sz w:val="20"/>
          <w:szCs w:val="20"/>
          <w:lang w:eastAsia="zh-CN"/>
        </w:rPr>
        <w:t xml:space="preserve"> </w:t>
      </w:r>
      <w:r w:rsidR="005F4A7D" w:rsidRPr="00311BA8">
        <w:rPr>
          <w:rFonts w:ascii="Calibri" w:eastAsia="SimSun" w:hAnsi="Calibri" w:cs="Calibri"/>
          <w:color w:val="000000"/>
          <w:sz w:val="20"/>
          <w:szCs w:val="20"/>
          <w:lang w:eastAsia="zh-CN"/>
        </w:rPr>
        <w:t xml:space="preserve"> </w:t>
      </w:r>
      <w:r w:rsidR="005F4A7D" w:rsidRPr="003A1CD0">
        <w:rPr>
          <w:rFonts w:ascii="Calibri" w:eastAsia="SimSun" w:hAnsi="Calibri" w:cs="Calibri"/>
          <w:color w:val="000000"/>
          <w:sz w:val="20"/>
          <w:szCs w:val="20"/>
          <w:lang w:eastAsia="zh-CN"/>
        </w:rPr>
        <w:t xml:space="preserve"> za pomocą aktywnego pola „Wybierz pliki do zaszyfrowania”. </w:t>
      </w:r>
      <w:bookmarkStart w:id="0" w:name="_GoBack"/>
      <w:bookmarkEnd w:id="0"/>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może przed upływem terminu do składania ofert wycofać ofertę za pośrednictwem „</w:t>
      </w:r>
      <w:r w:rsidRPr="003A1CD0">
        <w:rPr>
          <w:rFonts w:ascii="Calibri" w:eastAsia="CIDFont" w:hAnsi="Calibri" w:cs="Calibri"/>
          <w:b/>
          <w:bCs/>
          <w:i/>
          <w:iCs/>
          <w:color w:val="000000"/>
          <w:sz w:val="20"/>
          <w:szCs w:val="20"/>
          <w:lang w:eastAsia="zh-CN"/>
        </w:rPr>
        <w:t xml:space="preserve">Formularza do złożenia, zmiany, wycofania oferty lub wniosku” </w:t>
      </w:r>
      <w:r w:rsidRPr="003A1CD0">
        <w:rPr>
          <w:rFonts w:ascii="Calibri" w:eastAsia="CIDFont" w:hAnsi="Calibri" w:cs="Calibri"/>
          <w:color w:val="000000"/>
          <w:sz w:val="20"/>
          <w:szCs w:val="20"/>
          <w:lang w:eastAsia="zh-CN"/>
        </w:rPr>
        <w:t xml:space="preserve">dostępnego na </w:t>
      </w:r>
      <w:proofErr w:type="spellStart"/>
      <w:r w:rsidRPr="003A1CD0">
        <w:rPr>
          <w:rFonts w:ascii="Calibri" w:eastAsia="CIDFont" w:hAnsi="Calibri" w:cs="Calibri"/>
          <w:color w:val="000000"/>
          <w:sz w:val="20"/>
          <w:szCs w:val="20"/>
          <w:lang w:eastAsia="zh-CN"/>
        </w:rPr>
        <w:t>ePUAP</w:t>
      </w:r>
      <w:proofErr w:type="spellEnd"/>
      <w:r w:rsidRPr="003A1CD0">
        <w:rPr>
          <w:rFonts w:ascii="Calibri" w:eastAsia="CIDFont" w:hAnsi="Calibri" w:cs="Calibri"/>
          <w:color w:val="000000"/>
          <w:sz w:val="20"/>
          <w:szCs w:val="20"/>
          <w:lang w:eastAsia="zh-CN"/>
        </w:rPr>
        <w:t xml:space="preserve"> i udostępnionego również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po upływie terminu do składania ofert nie może skutecznie dokonać zmiany ani wycofać złożonej oferty.</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rPr>
        <w:lastRenderedPageBreak/>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840492" w:rsidRDefault="00840492" w:rsidP="005F4A7D">
      <w:pPr>
        <w:spacing w:line="276" w:lineRule="auto"/>
        <w:jc w:val="both"/>
        <w:rPr>
          <w:iC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Pr="00712F4A"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712F4A" w:rsidRPr="00712F4A">
        <w:rPr>
          <w:rFonts w:ascii="Calibri" w:eastAsiaTheme="minorHAnsi" w:hAnsi="Calibri" w:cs="Calibri"/>
          <w:b/>
          <w:sz w:val="20"/>
          <w:szCs w:val="20"/>
          <w:lang w:eastAsia="en-US"/>
        </w:rPr>
        <w:t>1</w:t>
      </w:r>
      <w:r w:rsidR="005C517D">
        <w:rPr>
          <w:rFonts w:ascii="Calibri" w:eastAsiaTheme="minorHAnsi" w:hAnsi="Calibri" w:cs="Calibri"/>
          <w:b/>
          <w:sz w:val="20"/>
          <w:szCs w:val="20"/>
          <w:lang w:eastAsia="en-US"/>
        </w:rPr>
        <w:t>1</w:t>
      </w:r>
      <w:r w:rsidR="007F360D" w:rsidRPr="00712F4A">
        <w:rPr>
          <w:rFonts w:ascii="Calibri" w:eastAsiaTheme="minorHAnsi" w:hAnsi="Calibri" w:cs="Calibri"/>
          <w:b/>
          <w:sz w:val="20"/>
          <w:szCs w:val="20"/>
          <w:lang w:eastAsia="en-US"/>
        </w:rPr>
        <w:t>.0</w:t>
      </w:r>
      <w:r w:rsidR="00712F4A" w:rsidRPr="00712F4A">
        <w:rPr>
          <w:rFonts w:ascii="Calibri" w:eastAsiaTheme="minorHAnsi" w:hAnsi="Calibri" w:cs="Calibri"/>
          <w:b/>
          <w:sz w:val="20"/>
          <w:szCs w:val="20"/>
          <w:lang w:eastAsia="en-US"/>
        </w:rPr>
        <w:t>4</w:t>
      </w:r>
      <w:r w:rsidR="007F360D" w:rsidRPr="00712F4A">
        <w:rPr>
          <w:rFonts w:ascii="Calibri" w:eastAsiaTheme="minorHAnsi" w:hAnsi="Calibri" w:cs="Calibri"/>
          <w:b/>
          <w:sz w:val="20"/>
          <w:szCs w:val="20"/>
          <w:lang w:eastAsia="en-US"/>
        </w:rPr>
        <w:t>.202</w:t>
      </w:r>
      <w:r w:rsidR="00712F4A" w:rsidRPr="00712F4A">
        <w:rPr>
          <w:rFonts w:ascii="Calibri" w:eastAsiaTheme="minorHAnsi" w:hAnsi="Calibri" w:cs="Calibri"/>
          <w:b/>
          <w:sz w:val="20"/>
          <w:szCs w:val="20"/>
          <w:lang w:eastAsia="en-US"/>
        </w:rPr>
        <w:t>2</w:t>
      </w:r>
      <w:r w:rsidRPr="00712F4A">
        <w:rPr>
          <w:rFonts w:ascii="Calibri" w:hAnsi="Calibri" w:cs="Calibri"/>
          <w:b/>
          <w:sz w:val="20"/>
          <w:szCs w:val="20"/>
        </w:rPr>
        <w:t xml:space="preserve"> r. do godz. </w:t>
      </w:r>
      <w:r w:rsidR="007F360D" w:rsidRPr="00712F4A">
        <w:rPr>
          <w:rFonts w:ascii="Calibri" w:hAnsi="Calibri" w:cs="Calibri"/>
          <w:b/>
          <w:sz w:val="20"/>
          <w:szCs w:val="20"/>
        </w:rPr>
        <w:t>0</w:t>
      </w:r>
      <w:r w:rsidR="00FC1DEE" w:rsidRPr="00712F4A">
        <w:rPr>
          <w:rFonts w:ascii="Calibri" w:hAnsi="Calibri" w:cs="Calibri"/>
          <w:b/>
          <w:sz w:val="20"/>
          <w:szCs w:val="20"/>
        </w:rPr>
        <w:t>9</w:t>
      </w:r>
      <w:r w:rsidR="007F360D" w:rsidRPr="00712F4A">
        <w:rPr>
          <w:rFonts w:ascii="Calibri" w:hAnsi="Calibri" w:cs="Calibri"/>
          <w:b/>
          <w:sz w:val="20"/>
          <w:szCs w:val="20"/>
        </w:rPr>
        <w:t>:00</w:t>
      </w:r>
    </w:p>
    <w:p w:rsidR="005F4A7D" w:rsidRPr="00712F4A" w:rsidRDefault="005F4A7D" w:rsidP="005F4A7D">
      <w:pPr>
        <w:numPr>
          <w:ilvl w:val="2"/>
          <w:numId w:val="18"/>
        </w:numPr>
        <w:spacing w:before="120"/>
        <w:ind w:left="709" w:hanging="142"/>
        <w:jc w:val="both"/>
        <w:rPr>
          <w:rFonts w:ascii="Calibri" w:hAnsi="Calibri" w:cs="Calibri"/>
          <w:sz w:val="20"/>
          <w:szCs w:val="20"/>
        </w:rPr>
      </w:pPr>
      <w:r w:rsidRPr="00712F4A">
        <w:rPr>
          <w:rFonts w:ascii="Calibri" w:hAnsi="Calibri" w:cs="Calibri"/>
          <w:b/>
          <w:sz w:val="20"/>
          <w:szCs w:val="20"/>
        </w:rPr>
        <w:t>Zmiana lub wycofanie oferty</w:t>
      </w:r>
      <w:r w:rsidRPr="00712F4A">
        <w:rPr>
          <w:rFonts w:ascii="Calibri" w:hAnsi="Calibri" w:cs="Calibri"/>
          <w:sz w:val="20"/>
          <w:szCs w:val="20"/>
        </w:rPr>
        <w:t xml:space="preserve"> po upływie terminu składania ofert są nieskuteczne.</w:t>
      </w:r>
    </w:p>
    <w:p w:rsidR="005F4A7D" w:rsidRPr="00712F4A" w:rsidRDefault="005F4A7D" w:rsidP="005F4A7D">
      <w:pPr>
        <w:numPr>
          <w:ilvl w:val="2"/>
          <w:numId w:val="18"/>
        </w:numPr>
        <w:spacing w:before="120"/>
        <w:ind w:left="709" w:hanging="142"/>
        <w:jc w:val="both"/>
        <w:rPr>
          <w:rFonts w:ascii="Calibri" w:hAnsi="Calibri" w:cs="Calibri"/>
          <w:sz w:val="20"/>
          <w:szCs w:val="20"/>
        </w:rPr>
      </w:pPr>
      <w:r w:rsidRPr="00712F4A">
        <w:rPr>
          <w:rFonts w:ascii="Calibri" w:hAnsi="Calibri" w:cs="Calibri"/>
          <w:sz w:val="20"/>
          <w:szCs w:val="20"/>
        </w:rPr>
        <w:t xml:space="preserve">Zgodnie z art. 222 ust. 4 </w:t>
      </w:r>
      <w:proofErr w:type="spellStart"/>
      <w:r w:rsidRPr="00712F4A">
        <w:rPr>
          <w:rFonts w:ascii="Calibri" w:hAnsi="Calibri" w:cs="Calibri"/>
          <w:sz w:val="20"/>
          <w:szCs w:val="20"/>
        </w:rPr>
        <w:t>Pzp</w:t>
      </w:r>
      <w:proofErr w:type="spellEnd"/>
      <w:r w:rsidRPr="00712F4A">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rsidR="005F4A7D" w:rsidRPr="00712F4A" w:rsidRDefault="005F4A7D" w:rsidP="005F4A7D">
      <w:pPr>
        <w:numPr>
          <w:ilvl w:val="0"/>
          <w:numId w:val="18"/>
        </w:numPr>
        <w:spacing w:before="120"/>
        <w:ind w:left="360"/>
        <w:jc w:val="both"/>
        <w:rPr>
          <w:rFonts w:ascii="Calibri" w:hAnsi="Calibri" w:cs="Calibri"/>
          <w:sz w:val="20"/>
          <w:szCs w:val="20"/>
        </w:rPr>
      </w:pPr>
      <w:r w:rsidRPr="00712F4A">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712F4A">
        <w:rPr>
          <w:rFonts w:ascii="Calibri" w:eastAsiaTheme="minorHAnsi" w:hAnsi="Calibri" w:cs="Calibri"/>
          <w:b/>
          <w:bCs/>
          <w:sz w:val="20"/>
          <w:szCs w:val="20"/>
          <w:lang w:eastAsia="en-US"/>
        </w:rPr>
        <w:t xml:space="preserve">Otwarcie ofert </w:t>
      </w:r>
      <w:r w:rsidRPr="00712F4A">
        <w:rPr>
          <w:rFonts w:ascii="Calibri" w:eastAsiaTheme="minorHAnsi" w:hAnsi="Calibri" w:cs="Calibri"/>
          <w:sz w:val="20"/>
          <w:szCs w:val="20"/>
          <w:lang w:eastAsia="en-US"/>
        </w:rPr>
        <w:t xml:space="preserve">nastąpi w dniu </w:t>
      </w:r>
      <w:r w:rsidR="00712F4A" w:rsidRPr="00712F4A">
        <w:rPr>
          <w:rFonts w:ascii="Calibri" w:eastAsiaTheme="minorHAnsi" w:hAnsi="Calibri" w:cs="Calibri"/>
          <w:b/>
          <w:sz w:val="20"/>
          <w:szCs w:val="20"/>
          <w:lang w:eastAsia="en-US"/>
        </w:rPr>
        <w:t>1</w:t>
      </w:r>
      <w:r w:rsidR="005C517D">
        <w:rPr>
          <w:rFonts w:ascii="Calibri" w:eastAsiaTheme="minorHAnsi" w:hAnsi="Calibri" w:cs="Calibri"/>
          <w:b/>
          <w:sz w:val="20"/>
          <w:szCs w:val="20"/>
          <w:lang w:eastAsia="en-US"/>
        </w:rPr>
        <w:t>1</w:t>
      </w:r>
      <w:r w:rsidR="007F360D" w:rsidRPr="00712F4A">
        <w:rPr>
          <w:rFonts w:ascii="Calibri" w:eastAsiaTheme="minorHAnsi" w:hAnsi="Calibri" w:cs="Calibri"/>
          <w:b/>
          <w:sz w:val="20"/>
          <w:szCs w:val="20"/>
          <w:lang w:eastAsia="en-US"/>
        </w:rPr>
        <w:t>.0</w:t>
      </w:r>
      <w:r w:rsidR="00712F4A" w:rsidRPr="00712F4A">
        <w:rPr>
          <w:rFonts w:ascii="Calibri" w:eastAsiaTheme="minorHAnsi" w:hAnsi="Calibri" w:cs="Calibri"/>
          <w:b/>
          <w:sz w:val="20"/>
          <w:szCs w:val="20"/>
          <w:lang w:eastAsia="en-US"/>
        </w:rPr>
        <w:t>4</w:t>
      </w:r>
      <w:r w:rsidR="007F360D" w:rsidRPr="00712F4A">
        <w:rPr>
          <w:rFonts w:ascii="Calibri" w:eastAsiaTheme="minorHAnsi" w:hAnsi="Calibri" w:cs="Calibri"/>
          <w:b/>
          <w:sz w:val="20"/>
          <w:szCs w:val="20"/>
          <w:lang w:eastAsia="en-US"/>
        </w:rPr>
        <w:t>.202</w:t>
      </w:r>
      <w:r w:rsidR="00712F4A" w:rsidRPr="00712F4A">
        <w:rPr>
          <w:rFonts w:ascii="Calibri" w:eastAsiaTheme="minorHAnsi" w:hAnsi="Calibri" w:cs="Calibri"/>
          <w:b/>
          <w:sz w:val="20"/>
          <w:szCs w:val="20"/>
          <w:lang w:eastAsia="en-US"/>
        </w:rPr>
        <w:t>2</w:t>
      </w:r>
      <w:r w:rsidRPr="00712F4A">
        <w:rPr>
          <w:rFonts w:ascii="Calibri" w:eastAsiaTheme="minorHAnsi" w:hAnsi="Calibri" w:cs="Calibri"/>
          <w:b/>
          <w:sz w:val="20"/>
          <w:szCs w:val="20"/>
          <w:lang w:eastAsia="en-US"/>
        </w:rPr>
        <w:t xml:space="preserve"> r. o godz.</w:t>
      </w:r>
      <w:r w:rsidR="007F360D" w:rsidRPr="00712F4A">
        <w:rPr>
          <w:rFonts w:ascii="Calibri" w:eastAsiaTheme="minorHAnsi" w:hAnsi="Calibri" w:cs="Calibri"/>
          <w:b/>
          <w:sz w:val="20"/>
          <w:szCs w:val="20"/>
          <w:lang w:eastAsia="en-US"/>
        </w:rPr>
        <w:t xml:space="preserve"> 1</w:t>
      </w:r>
      <w:r w:rsidR="00FC1DEE" w:rsidRPr="00712F4A">
        <w:rPr>
          <w:rFonts w:ascii="Calibri" w:eastAsiaTheme="minorHAnsi" w:hAnsi="Calibri" w:cs="Calibri"/>
          <w:b/>
          <w:sz w:val="20"/>
          <w:szCs w:val="20"/>
          <w:lang w:eastAsia="en-US"/>
        </w:rPr>
        <w:t>0</w:t>
      </w:r>
      <w:r w:rsidR="007F360D" w:rsidRPr="00712F4A">
        <w:rPr>
          <w:rFonts w:ascii="Calibri" w:eastAsiaTheme="minorHAnsi" w:hAnsi="Calibri" w:cs="Calibri"/>
          <w:b/>
          <w:sz w:val="20"/>
          <w:szCs w:val="20"/>
          <w:lang w:eastAsia="en-US"/>
        </w:rPr>
        <w:t>:</w:t>
      </w:r>
      <w:r w:rsidR="00FC1DEE" w:rsidRPr="00712F4A">
        <w:rPr>
          <w:rFonts w:ascii="Calibri" w:eastAsiaTheme="minorHAnsi" w:hAnsi="Calibri" w:cs="Calibri"/>
          <w:b/>
          <w:sz w:val="20"/>
          <w:szCs w:val="20"/>
          <w:lang w:eastAsia="en-US"/>
        </w:rPr>
        <w:t>0</w:t>
      </w:r>
      <w:r w:rsidR="007F360D" w:rsidRPr="00712F4A">
        <w:rPr>
          <w:rFonts w:ascii="Calibri" w:eastAsiaTheme="minorHAnsi" w:hAnsi="Calibri" w:cs="Calibri"/>
          <w:b/>
          <w:sz w:val="20"/>
          <w:szCs w:val="20"/>
          <w:lang w:eastAsia="en-US"/>
        </w:rPr>
        <w:t>0</w:t>
      </w:r>
      <w:r w:rsidRPr="00712F4A">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rsidR="007F360D" w:rsidRDefault="007F360D" w:rsidP="009F53A8">
      <w:pPr>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 xml:space="preserve">Wynagrodzenie ryczałtowe jest stałe i niezmienne, niezależnie od faktycznego rozmiaru lub kosztów robót.          W związku z tym,  Zamawiający nie przewiduje wynagrodzeń dodatkowych wynikających np.                                           </w:t>
      </w:r>
      <w:r>
        <w:rPr>
          <w:rFonts w:ascii="Calibri" w:hAnsi="Calibri" w:cs="Tahoma"/>
          <w:bCs/>
          <w:sz w:val="20"/>
          <w:szCs w:val="20"/>
          <w:lang w:eastAsia="ar-SA"/>
        </w:rPr>
        <w:lastRenderedPageBreak/>
        <w:t>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p>
    <w:p w:rsidR="005F4A7D" w:rsidRPr="00840492" w:rsidRDefault="005F4A7D" w:rsidP="005F4A7D">
      <w:pPr>
        <w:rPr>
          <w:rFonts w:asciiTheme="minorHAnsi" w:hAnsiTheme="minorHAnsi" w:cstheme="minorHAnsi"/>
          <w:b/>
          <w:sz w:val="20"/>
          <w:szCs w:val="20"/>
        </w:rPr>
      </w:pPr>
      <w:r w:rsidRPr="00840492">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tbl>
      <w:tblPr>
        <w:tblStyle w:val="Tabela-Siatka"/>
        <w:tblW w:w="0" w:type="auto"/>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 xml:space="preserve">Jeżeli wybór oferty najkorzystniejszej będzie niemożliwy z uwagi na to, że dwie lub więcej ofert </w:t>
      </w:r>
      <w:r>
        <w:rPr>
          <w:rFonts w:cstheme="minorHAnsi"/>
          <w:sz w:val="20"/>
          <w:szCs w:val="20"/>
        </w:rPr>
        <w:lastRenderedPageBreak/>
        <w:t>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5F4A7D" w:rsidRPr="00840492" w:rsidRDefault="005F4A7D" w:rsidP="0084049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sidRPr="00840492">
        <w:rPr>
          <w:rFonts w:ascii="Calibri" w:hAnsi="Calibri"/>
          <w:sz w:val="20"/>
          <w:szCs w:val="20"/>
        </w:rPr>
        <w:t xml:space="preserve">Wzór umowy stanowi załącznik nr </w:t>
      </w:r>
      <w:r w:rsidR="002545D7" w:rsidRPr="00840492">
        <w:rPr>
          <w:rFonts w:ascii="Calibri" w:hAnsi="Calibri"/>
          <w:sz w:val="20"/>
          <w:szCs w:val="20"/>
        </w:rPr>
        <w:t>6</w:t>
      </w:r>
      <w:r w:rsidRPr="00840492">
        <w:rPr>
          <w:rFonts w:ascii="Calibri" w:hAnsi="Calibri"/>
          <w:sz w:val="20"/>
          <w:szCs w:val="20"/>
        </w:rPr>
        <w:t xml:space="preserve"> do SWZ.</w:t>
      </w:r>
    </w:p>
    <w:p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rPr>
      </w:pPr>
      <w:r>
        <w:rPr>
          <w:rFonts w:asciiTheme="minorHAnsi" w:hAnsiTheme="minorHAnsi" w:cstheme="minorHAnsi"/>
          <w:bCs/>
          <w:iCs/>
          <w:color w:val="000000"/>
          <w:sz w:val="20"/>
          <w:szCs w:val="20"/>
        </w:rPr>
        <w:t>1.Wykonawca może powierzyć wykonanie części zamówienia Podwykonawcom.</w:t>
      </w:r>
    </w:p>
    <w:p w:rsidR="005F4A7D" w:rsidRDefault="005F4A7D" w:rsidP="005F4A7D">
      <w:pPr>
        <w:jc w:val="both"/>
        <w:outlineLvl w:val="1"/>
        <w:rPr>
          <w:rFonts w:asciiTheme="minorHAnsi" w:hAnsiTheme="minorHAnsi" w:cstheme="minorHAnsi"/>
          <w:bCs/>
          <w:iCs/>
          <w:color w:val="000000"/>
          <w:sz w:val="20"/>
          <w:szCs w:val="20"/>
        </w:rPr>
      </w:pPr>
      <w:r>
        <w:rPr>
          <w:rFonts w:asciiTheme="minorHAnsi" w:hAnsiTheme="minorHAnsi" w:cstheme="minorHAnsi"/>
          <w:bCs/>
          <w:iCs/>
          <w:color w:val="000000"/>
          <w:sz w:val="20"/>
          <w:szCs w:val="20"/>
        </w:rPr>
        <w:t>2. Zamawiający żąda wskazania przez Wykonawcę, w ofercie, części zamówienia, których wykonanie zamierza powierzyć Podwykonawcom oraz podania nazw ewentualnych Podwykonawców, jeżeli są już znani.</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 xml:space="preserve">4.Jeżeli zamawiający stwierdzi, że wobec danego podwykonawcy zachodzą podstawy wykluczenia, Wykonawca obowiązany jest zastąpić tego podwykonawcę lub zrezygnować z powierzenia wykonania części zamówienia </w:t>
      </w:r>
      <w:r>
        <w:rPr>
          <w:rFonts w:asciiTheme="minorHAnsi" w:hAnsiTheme="minorHAnsi" w:cstheme="minorHAnsi"/>
          <w:sz w:val="20"/>
          <w:szCs w:val="20"/>
        </w:rPr>
        <w:lastRenderedPageBreak/>
        <w:t>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4A7D" w:rsidRDefault="005F4A7D" w:rsidP="00520975">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6864C5"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Pr="00840492"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sidRPr="00840492">
        <w:rPr>
          <w:rFonts w:ascii="Calibri" w:eastAsiaTheme="minorHAnsi" w:hAnsi="Calibri" w:cs="Calibri"/>
          <w:sz w:val="20"/>
          <w:szCs w:val="20"/>
          <w:shd w:val="clear" w:color="auto" w:fill="FFFFFF"/>
          <w:lang w:eastAsia="en-US"/>
        </w:rPr>
        <w:t xml:space="preserve">Zabezpieczenie wnoszone w pieniądzu Wykonawca wpłaca przelewem na rachunek bankowy </w:t>
      </w:r>
      <w:r w:rsidRPr="00840492">
        <w:rPr>
          <w:rFonts w:ascii="Calibri" w:eastAsiaTheme="minorHAnsi" w:hAnsi="Calibri" w:cstheme="minorBidi"/>
          <w:spacing w:val="4"/>
          <w:sz w:val="20"/>
          <w:szCs w:val="20"/>
          <w:lang w:eastAsia="en-US"/>
        </w:rPr>
        <w:t xml:space="preserve">51 8142 1033 0002 8105 3000 0005 </w:t>
      </w:r>
      <w:r w:rsidRPr="00840492">
        <w:rPr>
          <w:rFonts w:ascii="Calibri" w:eastAsiaTheme="minorHAnsi" w:hAnsi="Calibri" w:cstheme="minorBidi"/>
          <w:b/>
          <w:spacing w:val="4"/>
          <w:sz w:val="20"/>
          <w:szCs w:val="20"/>
          <w:lang w:eastAsia="en-US"/>
        </w:rPr>
        <w:t>z dopiskiem:</w:t>
      </w:r>
    </w:p>
    <w:p w:rsidR="005F4A7D" w:rsidRPr="00840492" w:rsidRDefault="00520975" w:rsidP="005F4A7D">
      <w:pPr>
        <w:spacing w:after="120"/>
        <w:ind w:left="357"/>
        <w:jc w:val="both"/>
        <w:rPr>
          <w:rFonts w:ascii="Calibri" w:hAnsi="Calibri"/>
          <w:b/>
          <w:bCs/>
          <w:sz w:val="20"/>
          <w:szCs w:val="20"/>
        </w:rPr>
      </w:pPr>
      <w:r>
        <w:rPr>
          <w:sz w:val="20"/>
          <w:szCs w:val="20"/>
        </w:rPr>
        <w:t>Wykonanie nakładki asfaltowej na ul. Nowowiejskiej w miejscowości Jarużyn, gmina Osielsko</w:t>
      </w:r>
      <w:r>
        <w:rPr>
          <w:rFonts w:asciiTheme="minorHAnsi" w:hAnsiTheme="minorHAnsi"/>
          <w:sz w:val="20"/>
          <w:szCs w:val="20"/>
        </w:rPr>
        <w:t xml:space="preserve"> na odcinku od km 0+000,00 do km 0+502,00 - </w:t>
      </w:r>
      <w:r w:rsidR="005F4A7D" w:rsidRPr="00840492">
        <w:rPr>
          <w:rFonts w:ascii="Calibri" w:hAnsi="Calibri"/>
          <w:b/>
          <w:sz w:val="20"/>
          <w:szCs w:val="20"/>
        </w:rPr>
        <w:t xml:space="preserve">nr sprawy: </w:t>
      </w:r>
      <w:r w:rsidR="00840492">
        <w:rPr>
          <w:rFonts w:ascii="Calibri" w:hAnsi="Calibri"/>
          <w:b/>
          <w:bCs/>
          <w:sz w:val="20"/>
          <w:szCs w:val="20"/>
        </w:rPr>
        <w:t>GZK.271.4.2022</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20975" w:rsidRDefault="00520975"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20975" w:rsidRDefault="00520975"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20975" w:rsidRDefault="00520975"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20975" w:rsidRDefault="00520975"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20975" w:rsidRDefault="00520975"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3"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4"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C541CF">
        <w:rPr>
          <w:rFonts w:asciiTheme="minorHAnsi" w:hAnsiTheme="minorHAnsi" w:cstheme="minorHAnsi"/>
          <w:b/>
          <w:sz w:val="20"/>
          <w:szCs w:val="20"/>
        </w:rPr>
        <w:t>4</w:t>
      </w:r>
      <w:r w:rsidRPr="005F4A7D">
        <w:rPr>
          <w:rFonts w:asciiTheme="minorHAnsi" w:hAnsiTheme="minorHAnsi" w:cstheme="minorHAnsi"/>
          <w:b/>
          <w:sz w:val="20"/>
          <w:szCs w:val="20"/>
        </w:rPr>
        <w:t xml:space="preserve"> .202</w:t>
      </w:r>
      <w:r w:rsidR="00C541CF">
        <w:rPr>
          <w:rFonts w:asciiTheme="minorHAnsi" w:hAnsiTheme="minorHAnsi" w:cstheme="minorHAnsi"/>
          <w:b/>
          <w:sz w:val="20"/>
          <w:szCs w:val="20"/>
        </w:rPr>
        <w:t>2</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5"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lastRenderedPageBreak/>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6"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E34964"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4A7D" w:rsidRDefault="00864634" w:rsidP="005F4A7D">
      <w:pPr>
        <w:rPr>
          <w:rFonts w:asciiTheme="minorHAnsi" w:hAnsiTheme="minorHAnsi" w:cstheme="minorHAnsi"/>
          <w:sz w:val="20"/>
          <w:szCs w:val="20"/>
        </w:rPr>
      </w:pPr>
      <w:r>
        <w:fldChar w:fldCharType="begin"/>
      </w:r>
      <w:r w:rsidR="005F4A7D">
        <w:instrText xml:space="preserve"> HYPERLINK "http://www.rcb.bip-e.pl/rcb/zamowienia-publiczne/8361,Klauzula-informacyjna-dotyczaca-danych-osobowych-uczestnikow-postepowan-o-zamowi.html" \l "_ftnref1" \o "" </w:instrText>
      </w:r>
      <w:r>
        <w:fldChar w:fldCharType="separate"/>
      </w:r>
      <w:r w:rsidR="005F4A7D">
        <w:rPr>
          <w:rStyle w:val="Hipercze"/>
          <w:rFonts w:asciiTheme="minorHAnsi" w:eastAsiaTheme="majorEastAsia" w:hAnsiTheme="minorHAnsi" w:cstheme="minorHAnsi"/>
          <w:color w:val="auto"/>
          <w:sz w:val="20"/>
          <w:szCs w:val="20"/>
        </w:rPr>
        <w:t>[1]</w:t>
      </w:r>
      <w:r>
        <w:fldChar w:fldCharType="end"/>
      </w:r>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5F4A7D">
        <w:rPr>
          <w:rFonts w:asciiTheme="minorHAnsi" w:hAnsiTheme="minorHAnsi" w:cstheme="minorHAnsi"/>
          <w:i/>
          <w:iCs/>
          <w:sz w:val="20"/>
          <w:szCs w:val="20"/>
        </w:rPr>
        <w:t>Pzp</w:t>
      </w:r>
      <w:proofErr w:type="spellEnd"/>
      <w:r w:rsidR="005F4A7D">
        <w:rPr>
          <w:rFonts w:asciiTheme="minorHAnsi" w:hAnsiTheme="minorHAnsi" w:cstheme="minorHAnsi"/>
          <w:i/>
          <w:iCs/>
          <w:sz w:val="20"/>
          <w:szCs w:val="20"/>
        </w:rPr>
        <w:t xml:space="preserve"> oraz nie może naruszać integralności protokołu oraz jego załączników.</w:t>
      </w:r>
      <w:bookmarkStart w:id="6" w:name="_ftn2"/>
    </w:p>
    <w:p w:rsidR="005F4A7D" w:rsidRDefault="00E34964" w:rsidP="005F4A7D">
      <w:pPr>
        <w:rPr>
          <w:rFonts w:asciiTheme="minorHAnsi" w:hAnsiTheme="minorHAnsi" w:cstheme="minorHAnsi"/>
          <w:sz w:val="20"/>
          <w:szCs w:val="20"/>
        </w:rPr>
      </w:pPr>
      <w:hyperlink r:id="rId27"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rsidR="00C50A2F" w:rsidRDefault="00C50A2F" w:rsidP="00C50A2F">
      <w:pPr>
        <w:spacing w:line="276" w:lineRule="auto"/>
        <w:rPr>
          <w:rFonts w:ascii="Calibri" w:hAnsi="Calibri"/>
          <w:bCs/>
          <w:sz w:val="20"/>
          <w:szCs w:val="20"/>
        </w:rPr>
      </w:pPr>
      <w:r>
        <w:rPr>
          <w:rFonts w:ascii="Calibri" w:hAnsi="Calibri"/>
          <w:b/>
          <w:bCs/>
          <w:sz w:val="20"/>
          <w:szCs w:val="20"/>
        </w:rPr>
        <w:t xml:space="preserve">Załącznik nr 8   - </w:t>
      </w:r>
      <w:r w:rsidR="00D670EB">
        <w:rPr>
          <w:rFonts w:asciiTheme="minorHAnsi" w:hAnsiTheme="minorHAnsi" w:cstheme="minorHAnsi"/>
          <w:sz w:val="20"/>
          <w:szCs w:val="20"/>
        </w:rPr>
        <w:t>oświadczenie wykonawcy</w:t>
      </w:r>
      <w:r w:rsidR="00D670EB" w:rsidRPr="00C50A2F">
        <w:rPr>
          <w:rFonts w:asciiTheme="minorHAnsi" w:hAnsiTheme="minorHAnsi" w:cstheme="minorHAnsi"/>
          <w:sz w:val="20"/>
          <w:szCs w:val="20"/>
        </w:rPr>
        <w:t xml:space="preserve"> o aktualności informacji zawartych w oświadczeniu złożonym zgodnie </w:t>
      </w:r>
      <w:r w:rsidR="00D670EB">
        <w:rPr>
          <w:rFonts w:asciiTheme="minorHAnsi" w:hAnsiTheme="minorHAnsi" w:cstheme="minorHAnsi"/>
          <w:sz w:val="20"/>
          <w:szCs w:val="20"/>
        </w:rPr>
        <w:t xml:space="preserve">z </w:t>
      </w:r>
      <w:r w:rsidR="00D670EB" w:rsidRPr="00D670EB">
        <w:rPr>
          <w:rFonts w:asciiTheme="minorHAnsi" w:hAnsiTheme="minorHAnsi" w:cstheme="minorHAnsi"/>
          <w:sz w:val="20"/>
          <w:szCs w:val="20"/>
        </w:rPr>
        <w:t xml:space="preserve">art. 125 ust. 1 ustawy </w:t>
      </w:r>
      <w:proofErr w:type="spellStart"/>
      <w:r w:rsidR="00D670EB" w:rsidRPr="00D670EB">
        <w:rPr>
          <w:rFonts w:asciiTheme="minorHAnsi" w:hAnsiTheme="minorHAnsi" w:cstheme="minorHAnsi"/>
          <w:sz w:val="20"/>
          <w:szCs w:val="20"/>
        </w:rPr>
        <w:t>Pzp</w:t>
      </w:r>
      <w:proofErr w:type="spellEnd"/>
    </w:p>
    <w:p w:rsidR="005F4A7D" w:rsidRDefault="005F4A7D" w:rsidP="005F4A7D"/>
    <w:p w:rsidR="005F4A7D" w:rsidRDefault="005F4A7D" w:rsidP="005F4A7D"/>
    <w:p w:rsidR="00FC38D8" w:rsidRDefault="00FC38D8"/>
    <w:sectPr w:rsidR="00FC38D8" w:rsidSect="00864634">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64" w:rsidRDefault="00E34964" w:rsidP="00BD26D5">
      <w:r>
        <w:separator/>
      </w:r>
    </w:p>
  </w:endnote>
  <w:endnote w:type="continuationSeparator" w:id="0">
    <w:p w:rsidR="00E34964" w:rsidRDefault="00E34964"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rsidR="00BE197F" w:rsidRDefault="00BE197F">
        <w:pPr>
          <w:pStyle w:val="Stopka"/>
          <w:pBdr>
            <w:top w:val="single" w:sz="4" w:space="1" w:color="D9D9D9" w:themeColor="background1" w:themeShade="D9"/>
          </w:pBdr>
          <w:jc w:val="right"/>
        </w:pPr>
        <w:r>
          <w:fldChar w:fldCharType="begin"/>
        </w:r>
        <w:r>
          <w:instrText>PAGE   \* MERGEFORMAT</w:instrText>
        </w:r>
        <w:r>
          <w:fldChar w:fldCharType="separate"/>
        </w:r>
        <w:r w:rsidR="00B63FD2">
          <w:rPr>
            <w:noProof/>
          </w:rPr>
          <w:t>13</w:t>
        </w:r>
        <w:r>
          <w:fldChar w:fldCharType="end"/>
        </w:r>
        <w:r>
          <w:t xml:space="preserve"> | </w:t>
        </w:r>
        <w:r>
          <w:rPr>
            <w:color w:val="808080" w:themeColor="background1" w:themeShade="80"/>
            <w:spacing w:val="60"/>
          </w:rPr>
          <w:t>Strona</w:t>
        </w:r>
      </w:p>
    </w:sdtContent>
  </w:sdt>
  <w:p w:rsidR="00BE197F" w:rsidRDefault="00BE19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64" w:rsidRDefault="00E34964" w:rsidP="00BD26D5">
      <w:r>
        <w:separator/>
      </w:r>
    </w:p>
  </w:footnote>
  <w:footnote w:type="continuationSeparator" w:id="0">
    <w:p w:rsidR="00E34964" w:rsidRDefault="00E34964"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1A8C1C50"/>
    <w:multiLevelType w:val="hybridMultilevel"/>
    <w:tmpl w:val="F11099FE"/>
    <w:lvl w:ilvl="0" w:tplc="560EDD84">
      <w:start w:val="1"/>
      <w:numFmt w:val="decimal"/>
      <w:lvlText w:val="%1)"/>
      <w:lvlJc w:val="left"/>
      <w:pPr>
        <w:ind w:left="1004" w:hanging="360"/>
      </w:pPr>
      <w:rPr>
        <w:b/>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7"/>
  </w:num>
  <w:num w:numId="35">
    <w:abstractNumId w:val="17"/>
  </w:num>
  <w:num w:numId="36">
    <w:abstractNumId w:val="26"/>
  </w:num>
  <w:num w:numId="37">
    <w:abstractNumId w:val="12"/>
  </w:num>
  <w:num w:numId="38">
    <w:abstractNumId w:val="14"/>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A7D"/>
    <w:rsid w:val="00010D00"/>
    <w:rsid w:val="000865F5"/>
    <w:rsid w:val="000D0195"/>
    <w:rsid w:val="00127A58"/>
    <w:rsid w:val="00182612"/>
    <w:rsid w:val="001948E1"/>
    <w:rsid w:val="001A5AC3"/>
    <w:rsid w:val="001B395C"/>
    <w:rsid w:val="001C0875"/>
    <w:rsid w:val="002545D7"/>
    <w:rsid w:val="0027323F"/>
    <w:rsid w:val="0031151B"/>
    <w:rsid w:val="00311BA8"/>
    <w:rsid w:val="00322A5C"/>
    <w:rsid w:val="003601C8"/>
    <w:rsid w:val="003A1CD0"/>
    <w:rsid w:val="003B2283"/>
    <w:rsid w:val="003D17B9"/>
    <w:rsid w:val="003D7938"/>
    <w:rsid w:val="003E1A0F"/>
    <w:rsid w:val="003E432F"/>
    <w:rsid w:val="003E695D"/>
    <w:rsid w:val="003F3638"/>
    <w:rsid w:val="004131F8"/>
    <w:rsid w:val="00414029"/>
    <w:rsid w:val="00442379"/>
    <w:rsid w:val="00474AB3"/>
    <w:rsid w:val="0048569D"/>
    <w:rsid w:val="004A4E61"/>
    <w:rsid w:val="004B46F5"/>
    <w:rsid w:val="004D309F"/>
    <w:rsid w:val="004E5D9A"/>
    <w:rsid w:val="00502AC0"/>
    <w:rsid w:val="005048E9"/>
    <w:rsid w:val="00520975"/>
    <w:rsid w:val="00551741"/>
    <w:rsid w:val="0055271C"/>
    <w:rsid w:val="00554AD7"/>
    <w:rsid w:val="00581D73"/>
    <w:rsid w:val="005C517D"/>
    <w:rsid w:val="005E247C"/>
    <w:rsid w:val="005F4A7D"/>
    <w:rsid w:val="00641DC2"/>
    <w:rsid w:val="006864C5"/>
    <w:rsid w:val="006935F4"/>
    <w:rsid w:val="0070650B"/>
    <w:rsid w:val="00712F4A"/>
    <w:rsid w:val="0073202F"/>
    <w:rsid w:val="0074688C"/>
    <w:rsid w:val="007804E7"/>
    <w:rsid w:val="007C18CC"/>
    <w:rsid w:val="007E183D"/>
    <w:rsid w:val="007E1A34"/>
    <w:rsid w:val="007E6E0F"/>
    <w:rsid w:val="007F360D"/>
    <w:rsid w:val="00840492"/>
    <w:rsid w:val="00864634"/>
    <w:rsid w:val="00867018"/>
    <w:rsid w:val="008833E6"/>
    <w:rsid w:val="008D050A"/>
    <w:rsid w:val="008E6077"/>
    <w:rsid w:val="008E6314"/>
    <w:rsid w:val="00917C61"/>
    <w:rsid w:val="00934E1E"/>
    <w:rsid w:val="009506ED"/>
    <w:rsid w:val="00956F62"/>
    <w:rsid w:val="009732A9"/>
    <w:rsid w:val="009F53A8"/>
    <w:rsid w:val="00A04E84"/>
    <w:rsid w:val="00A22492"/>
    <w:rsid w:val="00A52D49"/>
    <w:rsid w:val="00A71F60"/>
    <w:rsid w:val="00A804BA"/>
    <w:rsid w:val="00AB05A4"/>
    <w:rsid w:val="00AD4C4F"/>
    <w:rsid w:val="00B63FD2"/>
    <w:rsid w:val="00B947CD"/>
    <w:rsid w:val="00BA3CD5"/>
    <w:rsid w:val="00BA53AF"/>
    <w:rsid w:val="00BB74A7"/>
    <w:rsid w:val="00BC62BC"/>
    <w:rsid w:val="00BD26D5"/>
    <w:rsid w:val="00BE197F"/>
    <w:rsid w:val="00BF7264"/>
    <w:rsid w:val="00C029EF"/>
    <w:rsid w:val="00C30FE2"/>
    <w:rsid w:val="00C42703"/>
    <w:rsid w:val="00C50A2F"/>
    <w:rsid w:val="00C541CF"/>
    <w:rsid w:val="00C65F25"/>
    <w:rsid w:val="00CC39D6"/>
    <w:rsid w:val="00D0097D"/>
    <w:rsid w:val="00D06EED"/>
    <w:rsid w:val="00D564A4"/>
    <w:rsid w:val="00D670EB"/>
    <w:rsid w:val="00D7021D"/>
    <w:rsid w:val="00D72C20"/>
    <w:rsid w:val="00D9445A"/>
    <w:rsid w:val="00DB5F94"/>
    <w:rsid w:val="00DF0069"/>
    <w:rsid w:val="00DF5C11"/>
    <w:rsid w:val="00E1175A"/>
    <w:rsid w:val="00E206D2"/>
    <w:rsid w:val="00E34964"/>
    <w:rsid w:val="00F26C25"/>
    <w:rsid w:val="00F539DB"/>
    <w:rsid w:val="00FA4A67"/>
    <w:rsid w:val="00FB6A1B"/>
    <w:rsid w:val="00FB6C50"/>
    <w:rsid w:val="00FC1DEE"/>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locked/>
    <w:rsid w:val="005F4A7D"/>
    <w:rPr>
      <w:sz w:val="24"/>
      <w:szCs w:val="24"/>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podpisz-dokument-elektronicznie-wykorzystajpodpis-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14740549-1fb7-452b-be01-b8d33c159586"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mailto:zp@gzk-zoledowo.pl" TargetMode="External"/><Relationship Id="rId20" Type="http://schemas.openxmlformats.org/officeDocument/2006/relationships/hyperlink" Target="https://www.gov.pl/web/e-dowod/podpis-osobis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s://isap.sejm.gov.pl/isap.nsf/DocDetails.xsp?id=WDU20000620718" TargetMode="External"/><Relationship Id="rId5" Type="http://schemas.openxmlformats.org/officeDocument/2006/relationships/settings" Target="settings.xml"/><Relationship Id="rId15" Type="http://schemas.openxmlformats.org/officeDocument/2006/relationships/hyperlink" Target="mailto:bok@gzk-zoledowo.pl" TargetMode="External"/><Relationship Id="rId23" Type="http://schemas.openxmlformats.org/officeDocument/2006/relationships/hyperlink" Target="mailto:kielbon@ido.edu.pl" TargetMode="External"/><Relationship Id="rId28" Type="http://schemas.openxmlformats.org/officeDocument/2006/relationships/footer" Target="footer1.xml"/><Relationship Id="rId10" Type="http://schemas.openxmlformats.org/officeDocument/2006/relationships/hyperlink" Target="mailto:zp@gzk-zoledowo.pl" TargetMode="External"/><Relationship Id="rId19" Type="http://schemas.openxmlformats.org/officeDocument/2006/relationships/hyperlink" Target="https://www.gov.pl/web/gov/zaloz-profil-zaufa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https://miniportal.uzp.gov.pl/Postepowania/14740549-1fb7-452b-be01-b8d33c159586" TargetMode="External"/><Relationship Id="rId27" Type="http://schemas.openxmlformats.org/officeDocument/2006/relationships/hyperlink" Target="http://www.rcb.bip-e.pl/rcb/zamowienia-publiczne/8361,Klauzula-informacyjna-dotyczaca-danych-osobowych-uczestnikow-postepowan-o-zamowi.ht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B069-EF12-4DD3-BC40-D319E122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8176</Words>
  <Characters>49062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36</cp:revision>
  <dcterms:created xsi:type="dcterms:W3CDTF">2021-06-17T13:03:00Z</dcterms:created>
  <dcterms:modified xsi:type="dcterms:W3CDTF">2022-03-25T13:09:00Z</dcterms:modified>
</cp:coreProperties>
</file>