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Budowa sieci wodociągowej i kanalizacji sanitarnej w miejscowości Osielsko, Niwy, Jarużyn, Niemcz gm. 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22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3E4F4E" w:rsidRPr="00C22522" w:rsidRDefault="003E4F4E" w:rsidP="00C2252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C22522">
        <w:rPr>
          <w:rFonts w:asciiTheme="minorHAnsi" w:hAnsiTheme="minorHAnsi" w:cstheme="minorHAnsi"/>
        </w:rPr>
        <w:t>od dnia złożenia zamówienia na adres e-mail.</w:t>
      </w:r>
      <w:bookmarkStart w:id="0" w:name="_GoBack"/>
      <w:bookmarkEnd w:id="0"/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lastRenderedPageBreak/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4B32"/>
    <w:rsid w:val="003E4F4E"/>
    <w:rsid w:val="00441624"/>
    <w:rsid w:val="008D034C"/>
    <w:rsid w:val="00C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2021-12-06T10:47:00Z</dcterms:created>
  <dcterms:modified xsi:type="dcterms:W3CDTF">2021-12-10T12:29:00Z</dcterms:modified>
</cp:coreProperties>
</file>