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3CE1CCD6" w:rsidR="001C5D4A" w:rsidRPr="00383422" w:rsidRDefault="001C5D4A" w:rsidP="004408F0">
      <w:pPr>
        <w:pStyle w:val="Bezodstpw"/>
        <w:jc w:val="center"/>
        <w:rPr>
          <w:rFonts w:asciiTheme="minorHAnsi" w:hAnsiTheme="minorHAnsi" w:cs="Tahoma"/>
          <w:bCs/>
          <w:sz w:val="32"/>
          <w:szCs w:val="40"/>
        </w:rPr>
      </w:pPr>
      <w:r w:rsidRPr="00383422">
        <w:rPr>
          <w:rFonts w:asciiTheme="minorHAnsi" w:hAnsiTheme="minorHAnsi" w:cs="Tahoma"/>
          <w:bCs/>
          <w:sz w:val="32"/>
          <w:szCs w:val="40"/>
        </w:rPr>
        <w:t>Szczegółowy opis zamówienia</w:t>
      </w:r>
    </w:p>
    <w:p w14:paraId="25BDFDCE" w14:textId="77777777" w:rsidR="00383422" w:rsidRPr="00383422" w:rsidRDefault="00383422" w:rsidP="00383422">
      <w:pPr>
        <w:autoSpaceDN w:val="0"/>
        <w:adjustRightInd w:val="0"/>
        <w:spacing w:before="120"/>
        <w:jc w:val="both"/>
        <w:rPr>
          <w:rFonts w:ascii="Calibri" w:hAnsi="Calibri" w:cs="Calibri"/>
          <w:bCs/>
          <w:color w:val="FF0000"/>
        </w:rPr>
      </w:pPr>
      <w:bookmarkStart w:id="0" w:name="_Hlk80267186"/>
    </w:p>
    <w:p w14:paraId="535758A6" w14:textId="4B687DCF" w:rsidR="00383422" w:rsidRDefault="00383422" w:rsidP="00383422">
      <w:pPr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383422">
        <w:rPr>
          <w:rFonts w:ascii="Calibri" w:hAnsi="Calibri" w:cs="Calibri"/>
          <w:bCs/>
          <w:sz w:val="22"/>
          <w:szCs w:val="22"/>
        </w:rPr>
        <w:t>Modernizacja przepompowni ścieków sanitarnych</w:t>
      </w:r>
      <w:r w:rsidR="00F27A75">
        <w:rPr>
          <w:rFonts w:ascii="Calibri" w:hAnsi="Calibri" w:cs="Calibri"/>
          <w:bCs/>
          <w:sz w:val="22"/>
          <w:szCs w:val="22"/>
        </w:rPr>
        <w:t xml:space="preserve"> DN2000mm</w:t>
      </w:r>
      <w:r w:rsidRPr="00383422">
        <w:rPr>
          <w:rFonts w:ascii="Calibri" w:hAnsi="Calibri" w:cs="Calibri"/>
          <w:bCs/>
          <w:sz w:val="22"/>
          <w:szCs w:val="22"/>
        </w:rPr>
        <w:t xml:space="preserve"> przy ul. Słonecznej </w:t>
      </w:r>
      <w:r w:rsidRPr="00383422">
        <w:rPr>
          <w:rFonts w:ascii="Calibri" w:hAnsi="Calibri" w:cs="Calibri"/>
          <w:bCs/>
          <w:sz w:val="22"/>
          <w:szCs w:val="22"/>
        </w:rPr>
        <w:br/>
      </w:r>
      <w:r w:rsidR="00900D11">
        <w:rPr>
          <w:rFonts w:ascii="Calibri" w:hAnsi="Calibri" w:cs="Calibri"/>
          <w:bCs/>
          <w:sz w:val="22"/>
          <w:szCs w:val="22"/>
        </w:rPr>
        <w:t xml:space="preserve">na dz. nr 282 </w:t>
      </w:r>
      <w:r w:rsidRPr="00383422">
        <w:rPr>
          <w:rFonts w:ascii="Calibri" w:hAnsi="Calibri" w:cs="Calibri"/>
          <w:bCs/>
          <w:sz w:val="22"/>
          <w:szCs w:val="22"/>
        </w:rPr>
        <w:t>w miejscowości Żołędowo gmina Osielsko – szt. 1.</w:t>
      </w:r>
    </w:p>
    <w:p w14:paraId="4D0D51B6" w14:textId="6155679D" w:rsidR="00900D11" w:rsidRPr="00900D11" w:rsidRDefault="00900D11" w:rsidP="00383422">
      <w:pPr>
        <w:autoSpaceDN w:val="0"/>
        <w:adjustRightInd w:val="0"/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900D11">
        <w:rPr>
          <w:rFonts w:ascii="Calibri" w:hAnsi="Calibri" w:cs="Calibri"/>
          <w:b w:val="0"/>
          <w:sz w:val="22"/>
          <w:szCs w:val="22"/>
        </w:rPr>
        <w:t>Głębokość przepompowni – ok. 5 m</w:t>
      </w:r>
    </w:p>
    <w:p w14:paraId="2474E474" w14:textId="4DB7068F" w:rsidR="00900D11" w:rsidRPr="00900D11" w:rsidRDefault="00900D11" w:rsidP="00383422">
      <w:pPr>
        <w:autoSpaceDN w:val="0"/>
        <w:adjustRightInd w:val="0"/>
        <w:spacing w:before="120"/>
        <w:jc w:val="both"/>
        <w:rPr>
          <w:rFonts w:ascii="Calibri" w:hAnsi="Calibri"/>
          <w:b w:val="0"/>
          <w:sz w:val="22"/>
          <w:szCs w:val="22"/>
        </w:rPr>
      </w:pPr>
      <w:r w:rsidRPr="00900D11">
        <w:rPr>
          <w:rFonts w:ascii="Calibri" w:hAnsi="Calibri" w:cs="Calibri"/>
          <w:b w:val="0"/>
          <w:sz w:val="22"/>
          <w:szCs w:val="22"/>
        </w:rPr>
        <w:t xml:space="preserve">Szerokość przepompowni – 2,5 m </w:t>
      </w:r>
    </w:p>
    <w:bookmarkEnd w:id="0"/>
    <w:p w14:paraId="3D7C1080" w14:textId="5B91C169" w:rsidR="00383422" w:rsidRPr="00383422" w:rsidRDefault="00383422" w:rsidP="00383422">
      <w:pPr>
        <w:pStyle w:val="Bezodstpw"/>
        <w:rPr>
          <w:rFonts w:asciiTheme="minorHAnsi" w:hAnsiTheme="minorHAnsi" w:cs="Tahoma"/>
          <w:b w:val="0"/>
          <w:sz w:val="22"/>
          <w:szCs w:val="22"/>
        </w:rPr>
      </w:pPr>
    </w:p>
    <w:p w14:paraId="55D2662F" w14:textId="77777777" w:rsidR="00383422" w:rsidRPr="00383422" w:rsidRDefault="00383422" w:rsidP="00383422">
      <w:pPr>
        <w:pStyle w:val="Bezodstpw"/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sz w:val="22"/>
          <w:szCs w:val="28"/>
        </w:rPr>
        <w:t>Uwagi:</w:t>
      </w:r>
      <w:r w:rsidRPr="00383422">
        <w:rPr>
          <w:rFonts w:asciiTheme="minorHAnsi" w:hAnsiTheme="minorHAnsi"/>
          <w:b w:val="0"/>
          <w:sz w:val="22"/>
          <w:szCs w:val="28"/>
        </w:rPr>
        <w:br/>
        <w:t>Wykonawca przed przygotowaniem oferty winien przeprowadzić wizję w terenie w celu dokładnego oszacowania prowadzonych prac oraz związanych z tym kosztów.</w:t>
      </w:r>
    </w:p>
    <w:p w14:paraId="39261122" w14:textId="77777777" w:rsidR="00383422" w:rsidRPr="00383422" w:rsidRDefault="00383422" w:rsidP="00383422">
      <w:pPr>
        <w:pStyle w:val="Bezodstpw"/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>Wszystkie zastosowane urządzenia i materiały muszą posiadać znak bezpieczeństwa oraz certyfikat zgodności wyrobu lub deklarację zgodności wystawiona przez producenta. Wymagana klasa I.</w:t>
      </w:r>
    </w:p>
    <w:p w14:paraId="046C2351" w14:textId="2DF91F6A" w:rsidR="00383422" w:rsidRPr="00383422" w:rsidRDefault="00383422" w:rsidP="00383422">
      <w:pPr>
        <w:pStyle w:val="Bezodstpw"/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 xml:space="preserve">Istniejące zdemontowane wyposażenie przepompowni (materiał, armatura) z przepompowi przekazać do GZK. </w:t>
      </w:r>
    </w:p>
    <w:p w14:paraId="4393855C" w14:textId="77777777" w:rsidR="00383422" w:rsidRPr="00383422" w:rsidRDefault="00383422" w:rsidP="00383422">
      <w:pPr>
        <w:pStyle w:val="Bezodstpw"/>
        <w:rPr>
          <w:rFonts w:asciiTheme="minorHAnsi" w:hAnsiTheme="minorHAnsi"/>
          <w:b w:val="0"/>
          <w:sz w:val="22"/>
          <w:szCs w:val="28"/>
        </w:rPr>
      </w:pPr>
    </w:p>
    <w:p w14:paraId="1B705AB6" w14:textId="77777777" w:rsidR="00383422" w:rsidRPr="00383422" w:rsidRDefault="00383422" w:rsidP="00383422">
      <w:pPr>
        <w:pStyle w:val="Bezodstpw"/>
        <w:rPr>
          <w:rFonts w:asciiTheme="minorHAnsi" w:hAnsiTheme="minorHAnsi"/>
          <w:sz w:val="22"/>
          <w:szCs w:val="28"/>
        </w:rPr>
      </w:pPr>
      <w:r w:rsidRPr="00383422">
        <w:rPr>
          <w:rFonts w:asciiTheme="minorHAnsi" w:hAnsiTheme="minorHAnsi"/>
          <w:sz w:val="22"/>
          <w:szCs w:val="28"/>
        </w:rPr>
        <w:t>Zakres prac:</w:t>
      </w:r>
    </w:p>
    <w:p w14:paraId="1F6BC66D" w14:textId="0F342DE5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Renowację </w:t>
      </w:r>
      <w:r>
        <w:rPr>
          <w:rFonts w:ascii="Calibri" w:hAnsi="Calibri"/>
          <w:b w:val="0"/>
          <w:sz w:val="22"/>
          <w:szCs w:val="22"/>
          <w:lang w:eastAsia="pl-PL"/>
        </w:rPr>
        <w:t>komory</w:t>
      </w: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przepompowni za pomocą cienkościennych paneli GRP należy wykonać metodą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bezwykopową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na czynnych kolektorach kanalizacji sanitarnej</w:t>
      </w:r>
      <w:r>
        <w:rPr>
          <w:rFonts w:ascii="Calibri" w:hAnsi="Calibri"/>
          <w:b w:val="0"/>
          <w:sz w:val="22"/>
          <w:szCs w:val="22"/>
          <w:lang w:eastAsia="pl-PL"/>
        </w:rPr>
        <w:t xml:space="preserve">. </w:t>
      </w:r>
      <w:r w:rsidRPr="00383422">
        <w:rPr>
          <w:rFonts w:asciiTheme="minorHAnsi" w:hAnsiTheme="minorHAnsi"/>
          <w:b w:val="0"/>
          <w:sz w:val="22"/>
          <w:szCs w:val="28"/>
        </w:rPr>
        <w:t>Wykonawca zobowiązany jest do zachowania ciągłości przepływu ścieków (bypass</w:t>
      </w:r>
      <w:r>
        <w:rPr>
          <w:rFonts w:asciiTheme="minorHAnsi" w:hAnsiTheme="minorHAnsi"/>
          <w:b w:val="0"/>
          <w:sz w:val="22"/>
          <w:szCs w:val="28"/>
        </w:rPr>
        <w:t xml:space="preserve"> – pompowanie tymczasowe</w:t>
      </w:r>
      <w:r w:rsidRPr="00383422">
        <w:rPr>
          <w:rFonts w:asciiTheme="minorHAnsi" w:hAnsiTheme="minorHAnsi"/>
          <w:b w:val="0"/>
          <w:sz w:val="22"/>
          <w:szCs w:val="28"/>
        </w:rPr>
        <w:t>).</w:t>
      </w:r>
    </w:p>
    <w:p w14:paraId="04A7F91A" w14:textId="77777777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Należy zastosować cienkościenne panele wykonane z mat z włókna szklanego nasączonego infuzyjnie (w warunkach podciśnienia) żywicami poliestrowymi. (nie dopuszcza się ręcznego nasączania paneli). Panele muszą umożliwiać wprowadzenie ich do wnętrza studni/zbiornika przez właz studzienny i komin studni.</w:t>
      </w:r>
    </w:p>
    <w:p w14:paraId="3B0C0215" w14:textId="594567F8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Wykładzina o wytrzymałości na rozciąganie min 150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MPa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>, musi mieć grubość min. 4 mm. Panel do renowacji musi być monolityczny łączony na zakładkę tylko w płaszczyźnie pionowej i na połączeniu z kinetą/dnem zbiornika. Przestrzeń pomiędzy wykładziną a ścianą studni, musi być wypełniona zaprawą iniekcyjną o wysokiej wytrzymałości na ściskanie min. 25MPa wg PN-EN 206-1:2003/A2:2006. Panel wykorzystywany do renowacji musi posiadać Aprobatę Techniczną ITB.</w:t>
      </w:r>
    </w:p>
    <w:p w14:paraId="17144FF7" w14:textId="77777777" w:rsidR="00F27A75" w:rsidRDefault="00F27A75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</w:p>
    <w:p w14:paraId="56B8BCD7" w14:textId="56B273E1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Prace przygotowawcze:</w:t>
      </w:r>
    </w:p>
    <w:p w14:paraId="08315C73" w14:textId="77777777" w:rsidR="00383422" w:rsidRPr="00383422" w:rsidRDefault="00383422" w:rsidP="00383422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Demontaż wyposażenia przepompowni;</w:t>
      </w:r>
    </w:p>
    <w:p w14:paraId="68B4612C" w14:textId="77777777" w:rsidR="00383422" w:rsidRPr="00383422" w:rsidRDefault="00383422" w:rsidP="00383422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Czyszczenie hydrokinetyczne zbiornika urządzeniem wysokociśnieniowym o ciśnieniu do 500 Bar;</w:t>
      </w:r>
    </w:p>
    <w:p w14:paraId="6B00B411" w14:textId="77777777" w:rsidR="00383422" w:rsidRPr="00383422" w:rsidRDefault="00383422" w:rsidP="00383422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Piaskowanie studni/zbiorników kanalizacyjnych jak i innych powierzchni urządzeniem piaskującym w razie wystąpienia takiej potrzeby;</w:t>
      </w:r>
    </w:p>
    <w:p w14:paraId="1508DD46" w14:textId="77777777" w:rsidR="00383422" w:rsidRPr="00383422" w:rsidRDefault="00383422" w:rsidP="00383422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Demontaż starych stopni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złazowych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>, drabin, pomostów;</w:t>
      </w:r>
    </w:p>
    <w:p w14:paraId="101D8BE4" w14:textId="77777777" w:rsidR="00383422" w:rsidRPr="00383422" w:rsidRDefault="00383422" w:rsidP="00383422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Uszczelnienie wycieków wody gruntowej szybkosprawną zaprawą przeznaczoną do dynamicznych wycieków.</w:t>
      </w:r>
    </w:p>
    <w:p w14:paraId="588C6BEA" w14:textId="77777777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</w:p>
    <w:p w14:paraId="1E14D1CB" w14:textId="77777777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Prace zasadnicze</w:t>
      </w:r>
    </w:p>
    <w:p w14:paraId="1FC10DCC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Wstawienie do zbiornika siatki zbrojeniowej ocynkowanej z pręta Ø3 mm o oczkach 30x30 mm;</w:t>
      </w:r>
    </w:p>
    <w:p w14:paraId="4C3B15AA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Wstawienie panelu GRP do wnętrza komory roboczej;</w:t>
      </w:r>
    </w:p>
    <w:p w14:paraId="11BAEA56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Rozwinięcie i ustawienie panelu GRP;</w:t>
      </w:r>
    </w:p>
    <w:p w14:paraId="4ABC94F9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Zszycie na zakładkę przy pomocy nitów pionowych krawędzi panelu. Przy średnicach zbiornika powyżej 1600 mm dopuszcza się więcej niż jedno łączenie pionowe;</w:t>
      </w:r>
    </w:p>
    <w:p w14:paraId="3FABE2FB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Laminowanie zszytego połączenia trzema warstwami maty szklanej nasączonej żywicami poliestrowymi; </w:t>
      </w:r>
    </w:p>
    <w:p w14:paraId="402F9ECF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Otwarcie włączeń do studni, wykonanie szczelnego połączenia pomiędzy wlotem włączenia do studni a otworem w panelu przy pomocy kształtki kapeluszowej;</w:t>
      </w:r>
    </w:p>
    <w:p w14:paraId="7DEC4D0D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lastRenderedPageBreak/>
        <w:t>Iniektowanie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przestrzeni pomiędzy panelem GRP, a ścianami komory.</w:t>
      </w:r>
    </w:p>
    <w:p w14:paraId="6D54F477" w14:textId="77777777" w:rsidR="00383422" w:rsidRPr="00383422" w:rsidRDefault="00383422" w:rsidP="00383422">
      <w:pPr>
        <w:widowControl/>
        <w:numPr>
          <w:ilvl w:val="1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wykonanie pierwszej warstwy stabilizującej o wysokości do 30 -40 cm - tzw. wieniec stabilizujący,</w:t>
      </w:r>
    </w:p>
    <w:p w14:paraId="6F336619" w14:textId="77777777" w:rsidR="00383422" w:rsidRPr="00383422" w:rsidRDefault="00383422" w:rsidP="00383422">
      <w:pPr>
        <w:widowControl/>
        <w:numPr>
          <w:ilvl w:val="1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wykonanie kolejnych warstw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iniektu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– zgodnie z zaleceniami producenta masy iniekcyjnej. </w:t>
      </w:r>
    </w:p>
    <w:p w14:paraId="21E0CA70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Wykonanie przy pomocy chemii budowlanej o klasie ekspozycji Xa3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reprofilacji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kinety,</w:t>
      </w:r>
    </w:p>
    <w:p w14:paraId="47C3002E" w14:textId="77777777" w:rsidR="00383422" w:rsidRP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Wykonanie przy pomocy laminatów naprawy komina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ziornika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oraz dna.</w:t>
      </w:r>
    </w:p>
    <w:p w14:paraId="1EEAC838" w14:textId="03FEAA77" w:rsidR="00383422" w:rsidRDefault="00383422" w:rsidP="00383422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Montaż</w:t>
      </w:r>
      <w:r w:rsidR="00F27A75">
        <w:rPr>
          <w:rFonts w:ascii="Calibri" w:hAnsi="Calibri"/>
          <w:b w:val="0"/>
          <w:sz w:val="22"/>
          <w:szCs w:val="22"/>
          <w:lang w:eastAsia="pl-PL"/>
        </w:rPr>
        <w:t xml:space="preserve"> nowego</w:t>
      </w: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wyposażenia przepompowni ścieków</w:t>
      </w:r>
      <w:r w:rsidR="00F27A75">
        <w:rPr>
          <w:rFonts w:ascii="Calibri" w:hAnsi="Calibri"/>
          <w:b w:val="0"/>
          <w:sz w:val="22"/>
          <w:szCs w:val="22"/>
          <w:lang w:eastAsia="pl-PL"/>
        </w:rPr>
        <w:t>:</w:t>
      </w:r>
    </w:p>
    <w:p w14:paraId="78F1BA42" w14:textId="7D5E9B8F" w:rsidR="00F27A75" w:rsidRPr="00383422" w:rsidRDefault="00F27A75" w:rsidP="00F27A75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>Prowadzenie rurowe ze stali kwasoodpornej do opuszczania pomp z zapewnieniem każdorazowo prawidłowego zamknięcia na kolanie sprzęgającym.</w:t>
      </w:r>
    </w:p>
    <w:p w14:paraId="6C837EA5" w14:textId="4C0F0786" w:rsidR="00F27A75" w:rsidRPr="00383422" w:rsidRDefault="00F27A75" w:rsidP="00F27A75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>Drabina do zejścia na dno zbiornika ze stali kwasoodpornej (gat. 316).</w:t>
      </w:r>
    </w:p>
    <w:p w14:paraId="0B9E65C6" w14:textId="40F7D3B2" w:rsidR="00F27A75" w:rsidRPr="00383422" w:rsidRDefault="00F27A75" w:rsidP="00F27A75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>Łańcuchy pomp i pływaków ze stali kwasoodpornej (gat. 316).</w:t>
      </w:r>
    </w:p>
    <w:p w14:paraId="56B30AB6" w14:textId="2D6B7C18" w:rsidR="00F27A75" w:rsidRPr="00383422" w:rsidRDefault="00F27A75" w:rsidP="00F27A75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 xml:space="preserve">Przewody ssąco-tłoczące ze stali kwasoodporne (gat. </w:t>
      </w:r>
      <w:proofErr w:type="gramStart"/>
      <w:r w:rsidRPr="00383422">
        <w:rPr>
          <w:rFonts w:asciiTheme="minorHAnsi" w:hAnsiTheme="minorHAnsi"/>
          <w:b w:val="0"/>
          <w:sz w:val="22"/>
          <w:szCs w:val="28"/>
        </w:rPr>
        <w:t>316)j</w:t>
      </w:r>
      <w:proofErr w:type="gramEnd"/>
      <w:r w:rsidRPr="00383422">
        <w:rPr>
          <w:rFonts w:asciiTheme="minorHAnsi" w:hAnsiTheme="minorHAnsi"/>
          <w:b w:val="0"/>
          <w:sz w:val="22"/>
          <w:szCs w:val="28"/>
        </w:rPr>
        <w:t xml:space="preserve"> odpornej na środowisko umiejscowienia i pracy.</w:t>
      </w:r>
    </w:p>
    <w:p w14:paraId="2DAEC149" w14:textId="7B0BC071" w:rsidR="00F27A75" w:rsidRPr="00383422" w:rsidRDefault="00F27A75" w:rsidP="00F27A75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 xml:space="preserve">Zasuwy </w:t>
      </w:r>
      <w:r w:rsidR="007B4D7A">
        <w:rPr>
          <w:rFonts w:asciiTheme="minorHAnsi" w:hAnsiTheme="minorHAnsi"/>
          <w:b w:val="0"/>
          <w:sz w:val="22"/>
          <w:szCs w:val="28"/>
        </w:rPr>
        <w:t>nożowe stalowe kwasoodporne</w:t>
      </w:r>
      <w:r w:rsidRPr="00383422">
        <w:rPr>
          <w:rFonts w:asciiTheme="minorHAnsi" w:hAnsiTheme="minorHAnsi"/>
          <w:b w:val="0"/>
          <w:sz w:val="22"/>
          <w:szCs w:val="28"/>
        </w:rPr>
        <w:t xml:space="preserve"> i zawory zwrotne z żeliwa sferoidalnego na ciśnienie PN 16, kształtki i orurowanie </w:t>
      </w:r>
      <w:r w:rsidR="00900D11" w:rsidRPr="00383422">
        <w:rPr>
          <w:rFonts w:asciiTheme="minorHAnsi" w:hAnsiTheme="minorHAnsi"/>
          <w:b w:val="0"/>
          <w:sz w:val="22"/>
          <w:szCs w:val="28"/>
        </w:rPr>
        <w:t>kwasoodpornej (gat. 316</w:t>
      </w:r>
      <w:r w:rsidR="00900D11">
        <w:rPr>
          <w:rFonts w:asciiTheme="minorHAnsi" w:hAnsiTheme="minorHAnsi"/>
          <w:b w:val="0"/>
          <w:sz w:val="22"/>
          <w:szCs w:val="28"/>
        </w:rPr>
        <w:t>)</w:t>
      </w:r>
      <w:r w:rsidRPr="00383422">
        <w:rPr>
          <w:rFonts w:asciiTheme="minorHAnsi" w:hAnsiTheme="minorHAnsi"/>
          <w:b w:val="0"/>
          <w:sz w:val="22"/>
          <w:szCs w:val="28"/>
        </w:rPr>
        <w:t xml:space="preserve">. Zawory zwrotne: żeliwo sferoidalne EN-GJS-400, epoksydowane, śruby i podkładki: ze stali nierdzewnej, kula: rdzeń metalowy pokryty NBR, PN 10, jeden ruchomy kołnierz zapewniający łatwą wymianę istniejących zaworów, korek spustowy w dolnej części korpusu, pokrywa klapy z funkcją uchylania dla ułatwienia konserwacji zaworu. Komplet śrub, podkładek, nakrętek i kołków ze stali kwasoodpornej. </w:t>
      </w:r>
    </w:p>
    <w:p w14:paraId="2439C6D7" w14:textId="44148027" w:rsidR="00F27A75" w:rsidRPr="00900D11" w:rsidRDefault="00F27A75" w:rsidP="00900D11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 w:val="0"/>
          <w:sz w:val="22"/>
          <w:szCs w:val="28"/>
        </w:rPr>
      </w:pPr>
      <w:r w:rsidRPr="00383422">
        <w:rPr>
          <w:rFonts w:asciiTheme="minorHAnsi" w:hAnsiTheme="minorHAnsi"/>
          <w:b w:val="0"/>
          <w:sz w:val="22"/>
          <w:szCs w:val="28"/>
        </w:rPr>
        <w:t>Nad przepompownią właz cieplny ze stali nierdzewnej zamykany na kłódkę</w:t>
      </w:r>
      <w:r>
        <w:rPr>
          <w:rFonts w:asciiTheme="minorHAnsi" w:hAnsiTheme="minorHAnsi"/>
          <w:b w:val="0"/>
          <w:sz w:val="22"/>
          <w:szCs w:val="28"/>
        </w:rPr>
        <w:t xml:space="preserve"> oraz żuraw ze stali </w:t>
      </w:r>
      <w:proofErr w:type="spellStart"/>
      <w:r w:rsidR="00900D11">
        <w:rPr>
          <w:rFonts w:asciiTheme="minorHAnsi" w:hAnsiTheme="minorHAnsi"/>
          <w:b w:val="0"/>
          <w:sz w:val="22"/>
          <w:szCs w:val="28"/>
        </w:rPr>
        <w:t>ocynk</w:t>
      </w:r>
      <w:proofErr w:type="spellEnd"/>
      <w:r>
        <w:rPr>
          <w:rFonts w:asciiTheme="minorHAnsi" w:hAnsiTheme="minorHAnsi"/>
          <w:b w:val="0"/>
          <w:sz w:val="22"/>
          <w:szCs w:val="28"/>
        </w:rPr>
        <w:t xml:space="preserve"> do wyciągania pomp.</w:t>
      </w:r>
      <w:r w:rsidR="00900D11">
        <w:rPr>
          <w:rFonts w:asciiTheme="minorHAnsi" w:hAnsiTheme="minorHAnsi"/>
          <w:b w:val="0"/>
          <w:sz w:val="22"/>
          <w:szCs w:val="28"/>
        </w:rPr>
        <w:t xml:space="preserve">  (linka k.o.)</w:t>
      </w:r>
      <w:r w:rsidRPr="00900D11">
        <w:rPr>
          <w:rFonts w:asciiTheme="minorHAnsi" w:hAnsiTheme="minorHAnsi"/>
          <w:b w:val="0"/>
          <w:sz w:val="22"/>
          <w:szCs w:val="28"/>
        </w:rPr>
        <w:t xml:space="preserve"> </w:t>
      </w:r>
    </w:p>
    <w:p w14:paraId="578DFE38" w14:textId="587FF95E" w:rsidR="00F27A75" w:rsidRPr="00971E0F" w:rsidRDefault="00900D11" w:rsidP="00F27A75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Cs/>
          <w:sz w:val="22"/>
          <w:szCs w:val="28"/>
        </w:rPr>
      </w:pPr>
      <w:r>
        <w:rPr>
          <w:rFonts w:asciiTheme="minorHAnsi" w:hAnsiTheme="minorHAnsi"/>
          <w:b w:val="0"/>
          <w:sz w:val="22"/>
          <w:szCs w:val="28"/>
        </w:rPr>
        <w:t>układ łagodnego rozruchu – 3 fazowy 15kw 30A 460V – szt. 2 (</w:t>
      </w:r>
      <w:proofErr w:type="spellStart"/>
      <w:r>
        <w:rPr>
          <w:rFonts w:asciiTheme="minorHAnsi" w:hAnsiTheme="minorHAnsi"/>
          <w:b w:val="0"/>
          <w:sz w:val="22"/>
          <w:szCs w:val="28"/>
        </w:rPr>
        <w:t>softstarter</w:t>
      </w:r>
      <w:proofErr w:type="spellEnd"/>
      <w:r>
        <w:rPr>
          <w:rFonts w:asciiTheme="minorHAnsi" w:hAnsiTheme="minorHAnsi"/>
          <w:b w:val="0"/>
          <w:sz w:val="22"/>
          <w:szCs w:val="28"/>
        </w:rPr>
        <w:t xml:space="preserve">)  </w:t>
      </w:r>
    </w:p>
    <w:p w14:paraId="62F39FB4" w14:textId="77777777" w:rsidR="00F27A75" w:rsidRPr="00383422" w:rsidRDefault="00F27A75" w:rsidP="00F27A75">
      <w:pPr>
        <w:widowControl/>
        <w:suppressAutoHyphens w:val="0"/>
        <w:autoSpaceDE/>
        <w:ind w:left="720"/>
        <w:jc w:val="both"/>
        <w:rPr>
          <w:rFonts w:ascii="Calibri" w:hAnsi="Calibri"/>
          <w:b w:val="0"/>
          <w:sz w:val="22"/>
          <w:szCs w:val="22"/>
          <w:lang w:eastAsia="pl-PL"/>
        </w:rPr>
      </w:pPr>
    </w:p>
    <w:p w14:paraId="300FC836" w14:textId="77777777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</w:p>
    <w:p w14:paraId="68809E79" w14:textId="77777777" w:rsidR="00383422" w:rsidRPr="00383422" w:rsidRDefault="00383422" w:rsidP="00383422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Parametry techniczne paneli GRP:</w:t>
      </w:r>
    </w:p>
    <w:p w14:paraId="294C8683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grubość panelu min 4 mm,</w:t>
      </w:r>
    </w:p>
    <w:p w14:paraId="77D12169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wytrzymałość na rozciąganie ≥150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MPa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>,</w:t>
      </w:r>
    </w:p>
    <w:p w14:paraId="2CFBA079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wytrzymałość na zginanie ≥ 200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MPa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>,</w:t>
      </w:r>
    </w:p>
    <w:p w14:paraId="4C480804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max temp. eksploatacji do 60 st. C,</w:t>
      </w:r>
    </w:p>
    <w:p w14:paraId="026854ED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zawartość włókna szklanego &gt;56 %,</w:t>
      </w:r>
    </w:p>
    <w:p w14:paraId="778EC8E8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naprężenia zginające przy pierwszym pęknięciu 25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MPa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>,</w:t>
      </w:r>
    </w:p>
    <w:p w14:paraId="3BBE710F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odporność na działanie substancji chemicznych w zakresie </w:t>
      </w:r>
      <w:proofErr w:type="spellStart"/>
      <w:r w:rsidRPr="00383422">
        <w:rPr>
          <w:rFonts w:ascii="Calibri" w:hAnsi="Calibri"/>
          <w:b w:val="0"/>
          <w:sz w:val="22"/>
          <w:szCs w:val="22"/>
          <w:lang w:eastAsia="pl-PL"/>
        </w:rPr>
        <w:t>pH</w:t>
      </w:r>
      <w:proofErr w:type="spellEnd"/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 4-10,</w:t>
      </w:r>
    </w:p>
    <w:p w14:paraId="140411E9" w14:textId="77777777" w:rsidR="00383422" w:rsidRPr="00383422" w:rsidRDefault="00383422" w:rsidP="00383422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 xml:space="preserve">proces nasączenia mat z włókna szklanego żywicami poliestrowymi z wykorzystaniem procesu infuzji (nie dopuszcza się ręcznego nasączania paneli) </w:t>
      </w:r>
    </w:p>
    <w:p w14:paraId="7ABC25AA" w14:textId="77777777" w:rsidR="00383422" w:rsidRDefault="00383422" w:rsidP="00383422">
      <w:pPr>
        <w:pStyle w:val="Bezodstpw"/>
        <w:rPr>
          <w:rFonts w:asciiTheme="minorHAnsi" w:hAnsiTheme="minorHAnsi"/>
          <w:b w:val="0"/>
          <w:sz w:val="22"/>
          <w:szCs w:val="28"/>
        </w:rPr>
      </w:pPr>
    </w:p>
    <w:p w14:paraId="0D45BB77" w14:textId="77777777" w:rsidR="00383422" w:rsidRDefault="00383422" w:rsidP="00383422">
      <w:pPr>
        <w:pStyle w:val="Bezodstpw"/>
        <w:rPr>
          <w:rFonts w:asciiTheme="minorHAnsi" w:hAnsiTheme="minorHAnsi"/>
          <w:b w:val="0"/>
          <w:sz w:val="22"/>
          <w:szCs w:val="28"/>
        </w:rPr>
      </w:pPr>
    </w:p>
    <w:p w14:paraId="67E25C12" w14:textId="77777777" w:rsidR="00383422" w:rsidRDefault="00383422" w:rsidP="00383422">
      <w:pPr>
        <w:pStyle w:val="Bezodstpw"/>
        <w:rPr>
          <w:rFonts w:asciiTheme="minorHAnsi" w:hAnsiTheme="minorHAnsi"/>
          <w:b w:val="0"/>
          <w:sz w:val="22"/>
          <w:szCs w:val="28"/>
        </w:rPr>
      </w:pPr>
    </w:p>
    <w:p w14:paraId="76474981" w14:textId="77777777" w:rsidR="00F27A75" w:rsidRPr="00383422" w:rsidRDefault="00F27A75" w:rsidP="00F27A75">
      <w:pPr>
        <w:widowControl/>
        <w:suppressAutoHyphens w:val="0"/>
        <w:autoSpaceDE/>
        <w:jc w:val="both"/>
        <w:rPr>
          <w:rFonts w:ascii="Calibri" w:hAnsi="Calibri"/>
          <w:b w:val="0"/>
          <w:sz w:val="22"/>
          <w:szCs w:val="22"/>
          <w:lang w:eastAsia="pl-PL"/>
        </w:rPr>
      </w:pPr>
      <w:r w:rsidRPr="00383422">
        <w:rPr>
          <w:rFonts w:ascii="Calibri" w:hAnsi="Calibri"/>
          <w:b w:val="0"/>
          <w:sz w:val="22"/>
          <w:szCs w:val="22"/>
          <w:lang w:eastAsia="pl-PL"/>
        </w:rPr>
        <w:t>Panele wykonane z żywicy poliestrowej, zbrojonej włóknem szklanym</w:t>
      </w:r>
    </w:p>
    <w:p w14:paraId="38FBDF5B" w14:textId="77777777" w:rsidR="00383422" w:rsidRDefault="00383422" w:rsidP="00383422">
      <w:pPr>
        <w:pStyle w:val="Bezodstpw"/>
        <w:rPr>
          <w:rFonts w:asciiTheme="minorHAnsi" w:hAnsiTheme="minorHAnsi"/>
          <w:b w:val="0"/>
          <w:sz w:val="22"/>
          <w:szCs w:val="28"/>
        </w:rPr>
      </w:pPr>
    </w:p>
    <w:p w14:paraId="74A40BD6" w14:textId="77777777" w:rsidR="00383422" w:rsidRDefault="00383422" w:rsidP="00383422">
      <w:pPr>
        <w:pStyle w:val="Bezodstpw"/>
        <w:rPr>
          <w:rFonts w:asciiTheme="minorHAnsi" w:hAnsiTheme="minorHAnsi"/>
          <w:b w:val="0"/>
          <w:sz w:val="22"/>
          <w:szCs w:val="28"/>
        </w:rPr>
      </w:pPr>
    </w:p>
    <w:sectPr w:rsidR="00383422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FD3"/>
    <w:multiLevelType w:val="hybridMultilevel"/>
    <w:tmpl w:val="8ACC1FD6"/>
    <w:lvl w:ilvl="0" w:tplc="00000004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E037A"/>
    <w:multiLevelType w:val="hybridMultilevel"/>
    <w:tmpl w:val="204C89D4"/>
    <w:lvl w:ilvl="0" w:tplc="A09AAC6A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0B73"/>
    <w:multiLevelType w:val="hybridMultilevel"/>
    <w:tmpl w:val="C444E4DE"/>
    <w:lvl w:ilvl="0" w:tplc="0186E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FC67EFB"/>
    <w:multiLevelType w:val="hybridMultilevel"/>
    <w:tmpl w:val="60040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057A5"/>
    <w:rsid w:val="002273FA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83422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7F2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328D"/>
    <w:rsid w:val="00724DFF"/>
    <w:rsid w:val="00762340"/>
    <w:rsid w:val="007667CA"/>
    <w:rsid w:val="00774963"/>
    <w:rsid w:val="00782D0A"/>
    <w:rsid w:val="007843A6"/>
    <w:rsid w:val="007B4D7A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0D11"/>
    <w:rsid w:val="00901BB3"/>
    <w:rsid w:val="009130B5"/>
    <w:rsid w:val="00922602"/>
    <w:rsid w:val="009346B3"/>
    <w:rsid w:val="00945664"/>
    <w:rsid w:val="00946F31"/>
    <w:rsid w:val="00960597"/>
    <w:rsid w:val="00971E0F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1398"/>
    <w:rsid w:val="00C22B59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F1024"/>
    <w:rsid w:val="00EF47FC"/>
    <w:rsid w:val="00F008C5"/>
    <w:rsid w:val="00F26510"/>
    <w:rsid w:val="00F27A75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16</cp:revision>
  <cp:lastPrinted>2021-08-23T09:13:00Z</cp:lastPrinted>
  <dcterms:created xsi:type="dcterms:W3CDTF">2021-04-30T07:57:00Z</dcterms:created>
  <dcterms:modified xsi:type="dcterms:W3CDTF">2021-08-31T06:53:00Z</dcterms:modified>
</cp:coreProperties>
</file>