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7D" w:rsidRDefault="00953EB3" w:rsidP="005F4A7D">
      <w:pPr>
        <w:pBdr>
          <w:top w:val="single" w:sz="4" w:space="0" w:color="auto"/>
        </w:pBdr>
        <w:spacing w:before="60"/>
      </w:pPr>
      <w:r>
        <w:rPr>
          <w:noProof/>
        </w:rPr>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FC79CD" w:rsidRDefault="00FC79CD" w:rsidP="005F4A7D">
                  <w:pPr>
                    <w:pStyle w:val="Nagwek1"/>
                    <w:jc w:val="center"/>
                  </w:pPr>
                  <w:r>
                    <w:t>Gminny Zakład Komunalny</w:t>
                  </w:r>
                </w:p>
                <w:p w:rsidR="00FC79CD" w:rsidRDefault="00FC79CD" w:rsidP="005F4A7D">
                  <w:pPr>
                    <w:jc w:val="center"/>
                  </w:pPr>
                  <w:r>
                    <w:rPr>
                      <w:b/>
                      <w:sz w:val="32"/>
                    </w:rPr>
                    <w:t>Żołędowo, ul. Jastrzębia 62, 86-031 Osielsko</w:t>
                  </w:r>
                </w:p>
              </w:txbxContent>
            </v:textbox>
          </v:shape>
        </w:pict>
      </w:r>
      <w:r w:rsidR="005F4A7D">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anchor>
        </w:drawing>
      </w:r>
    </w:p>
    <w:p w:rsidR="005F4A7D" w:rsidRDefault="005F4A7D" w:rsidP="005F4A7D">
      <w:pPr>
        <w:spacing w:line="480" w:lineRule="auto"/>
        <w:jc w:val="center"/>
        <w:rPr>
          <w:rFonts w:ascii="Calibri" w:hAnsi="Calibri" w:cs="Calibri"/>
          <w:b/>
          <w:sz w:val="28"/>
          <w:szCs w:val="28"/>
        </w:rPr>
      </w:pPr>
    </w:p>
    <w:p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5F4A7D" w:rsidRDefault="005F4A7D" w:rsidP="005F4A7D">
      <w:pPr>
        <w:spacing w:before="120" w:line="276" w:lineRule="auto"/>
        <w:rPr>
          <w:rFonts w:ascii="Calibri" w:hAnsi="Calibri" w:cs="Calibri"/>
          <w:b/>
          <w:sz w:val="22"/>
          <w:szCs w:val="22"/>
          <w:vertAlign w:val="superscript"/>
        </w:rPr>
      </w:pPr>
    </w:p>
    <w:p w:rsidR="005F4A7D" w:rsidRDefault="005F4A7D" w:rsidP="005F4A7D">
      <w:pPr>
        <w:jc w:val="center"/>
        <w:rPr>
          <w:rFonts w:ascii="Calibri" w:hAnsi="Calibri" w:cs="Calibri"/>
          <w:b/>
        </w:rPr>
      </w:pPr>
      <w:r>
        <w:rPr>
          <w:rFonts w:ascii="Calibri" w:hAnsi="Calibri" w:cs="Calibri"/>
          <w:b/>
        </w:rPr>
        <w:t>Nazwa zamówienia</w:t>
      </w:r>
    </w:p>
    <w:p w:rsidR="005F4A7D" w:rsidRDefault="005F4A7D" w:rsidP="005F4A7D">
      <w:pPr>
        <w:jc w:val="center"/>
        <w:rPr>
          <w:rFonts w:ascii="Calibri" w:hAnsi="Calibri" w:cs="Calibri"/>
          <w:b/>
        </w:rPr>
      </w:pPr>
    </w:p>
    <w:p w:rsidR="005F4A7D" w:rsidRPr="00FC79CD" w:rsidRDefault="00BB74A7" w:rsidP="00BB74A7">
      <w:pPr>
        <w:spacing w:line="360" w:lineRule="auto"/>
        <w:jc w:val="center"/>
        <w:rPr>
          <w:rFonts w:ascii="Calibri" w:hAnsi="Calibri" w:cs="Calibri"/>
          <w:b/>
        </w:rPr>
      </w:pPr>
      <w:r w:rsidRPr="00FC79CD">
        <w:rPr>
          <w:rFonts w:ascii="Calibri" w:hAnsi="Calibri" w:cs="Calibri"/>
          <w:b/>
        </w:rPr>
        <w:t>Wykon</w:t>
      </w:r>
      <w:r w:rsidR="00FC79CD" w:rsidRPr="00FC79CD">
        <w:rPr>
          <w:rFonts w:ascii="Calibri" w:hAnsi="Calibri" w:cs="Calibri"/>
          <w:b/>
        </w:rPr>
        <w:t>anie remontów pierścieni rond przy ul. J Słowackiego i ul. Jana Pawła II w miejscowości Niemcz/Osielsko, Gmina</w:t>
      </w:r>
      <w:r w:rsidRPr="00FC79CD">
        <w:rPr>
          <w:rFonts w:ascii="Calibri" w:hAnsi="Calibri" w:cs="Calibri"/>
          <w:b/>
        </w:rPr>
        <w:t xml:space="preserve"> Osielsko</w:t>
      </w:r>
    </w:p>
    <w:p w:rsidR="005F4A7D" w:rsidRDefault="005F4A7D" w:rsidP="005F4A7D">
      <w:pPr>
        <w:spacing w:line="480" w:lineRule="auto"/>
        <w:jc w:val="center"/>
        <w:rPr>
          <w:rFonts w:ascii="Calibri" w:hAnsi="Calibri" w:cs="Calibri"/>
          <w:b/>
          <w:sz w:val="28"/>
          <w:szCs w:val="28"/>
        </w:rPr>
      </w:pPr>
    </w:p>
    <w:p w:rsidR="005F4A7D" w:rsidRPr="00182612" w:rsidRDefault="005F4A7D" w:rsidP="005F4A7D">
      <w:pPr>
        <w:spacing w:line="480" w:lineRule="auto"/>
        <w:jc w:val="center"/>
        <w:rPr>
          <w:rFonts w:ascii="Calibri" w:hAnsi="Calibri" w:cs="Calibri"/>
          <w:b/>
        </w:rPr>
      </w:pPr>
      <w:r w:rsidRPr="00182612">
        <w:rPr>
          <w:rFonts w:ascii="Calibri" w:hAnsi="Calibri" w:cs="Calibri"/>
          <w:b/>
        </w:rPr>
        <w:t>nr referencyjny GZK.271.</w:t>
      </w:r>
      <w:r w:rsidR="00FC79CD">
        <w:rPr>
          <w:rFonts w:ascii="Calibri" w:hAnsi="Calibri" w:cs="Calibri"/>
          <w:b/>
        </w:rPr>
        <w:t>12</w:t>
      </w:r>
      <w:r w:rsidRPr="00182612">
        <w:rPr>
          <w:rFonts w:ascii="Calibri" w:hAnsi="Calibri" w:cs="Calibri"/>
          <w:b/>
        </w:rPr>
        <w:t>.2021</w:t>
      </w:r>
    </w:p>
    <w:p w:rsidR="005F4A7D" w:rsidRDefault="005F4A7D" w:rsidP="005F4A7D">
      <w:pPr>
        <w:keepNext/>
        <w:spacing w:before="240" w:after="60"/>
        <w:ind w:left="4254" w:firstLine="709"/>
        <w:jc w:val="center"/>
        <w:outlineLvl w:val="2"/>
        <w:rPr>
          <w:rFonts w:ascii="Calibri" w:hAnsi="Calibri" w:cs="Calibri"/>
          <w:bCs/>
        </w:rPr>
      </w:pPr>
    </w:p>
    <w:p w:rsidR="005F4A7D" w:rsidRDefault="005F4A7D" w:rsidP="005F4A7D">
      <w:pPr>
        <w:keepNext/>
        <w:spacing w:before="240" w:after="60"/>
        <w:ind w:left="4254" w:firstLine="709"/>
        <w:jc w:val="center"/>
        <w:outlineLvl w:val="2"/>
        <w:rPr>
          <w:rFonts w:ascii="Calibri" w:hAnsi="Calibri" w:cs="Calibri"/>
          <w:bCs/>
          <w:sz w:val="26"/>
          <w:szCs w:val="26"/>
        </w:rPr>
      </w:pPr>
    </w:p>
    <w:p w:rsidR="005F4A7D" w:rsidRDefault="005F4A7D" w:rsidP="005F4A7D">
      <w:pPr>
        <w:keepNext/>
        <w:spacing w:before="240" w:after="60"/>
        <w:ind w:left="4254" w:firstLine="709"/>
        <w:jc w:val="center"/>
        <w:outlineLvl w:val="2"/>
        <w:rPr>
          <w:rFonts w:ascii="Calibri" w:hAnsi="Calibri" w:cs="Calibri"/>
          <w:bCs/>
          <w:sz w:val="26"/>
          <w:szCs w:val="26"/>
        </w:rPr>
      </w:pPr>
    </w:p>
    <w:p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rsidR="005F4A7D" w:rsidRDefault="005F4A7D" w:rsidP="005F4A7D">
      <w:pPr>
        <w:jc w:val="right"/>
        <w:rPr>
          <w:rFonts w:asciiTheme="minorHAnsi" w:hAnsiTheme="minorHAnsi" w:cstheme="minorHAnsi"/>
        </w:rPr>
      </w:pPr>
      <w:r>
        <w:rPr>
          <w:rFonts w:asciiTheme="minorHAnsi" w:hAnsiTheme="minorHAnsi" w:cstheme="minorHAnsi"/>
        </w:rPr>
        <w:t>mgr Leszek Dziamski</w:t>
      </w:r>
    </w:p>
    <w:p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5F4A7D" w:rsidRDefault="005F4A7D" w:rsidP="005F4A7D">
      <w:pPr>
        <w:rPr>
          <w:rFonts w:asciiTheme="minorHAnsi" w:hAnsiTheme="minorHAnsi" w:cstheme="minorHAnsi"/>
        </w:rPr>
      </w:pPr>
    </w:p>
    <w:p w:rsidR="005F4A7D" w:rsidRDefault="005F4A7D" w:rsidP="005F4A7D">
      <w:pPr>
        <w:jc w:val="right"/>
        <w:rPr>
          <w:rFonts w:asciiTheme="minorHAnsi" w:hAnsiTheme="minorHAnsi" w:cstheme="minorHAnsi"/>
        </w:rPr>
      </w:pPr>
      <w:r>
        <w:rPr>
          <w:rFonts w:asciiTheme="minorHAnsi" w:hAnsiTheme="minorHAnsi" w:cstheme="minorHAnsi"/>
        </w:rPr>
        <w:t>( pieczęć i podpis na oryginale )</w:t>
      </w:r>
    </w:p>
    <w:p w:rsidR="005F4A7D" w:rsidRDefault="005F4A7D" w:rsidP="005F4A7D">
      <w:pPr>
        <w:rPr>
          <w:rFonts w:asciiTheme="minorHAnsi" w:hAnsiTheme="minorHAnsi" w:cstheme="minorHAnsi"/>
        </w:rPr>
      </w:pPr>
    </w:p>
    <w:p w:rsidR="00BB74A7" w:rsidRDefault="00BB74A7" w:rsidP="005F4A7D">
      <w:pPr>
        <w:rPr>
          <w:rFonts w:ascii="Calibri" w:hAnsi="Calibri" w:cs="Calibri"/>
        </w:rPr>
      </w:pPr>
    </w:p>
    <w:p w:rsidR="00BB74A7" w:rsidRDefault="00BB74A7" w:rsidP="005F4A7D">
      <w:pPr>
        <w:rPr>
          <w:rFonts w:ascii="Calibri" w:hAnsi="Calibri" w:cs="Calibri"/>
        </w:rPr>
      </w:pPr>
    </w:p>
    <w:p w:rsidR="005F4A7D" w:rsidRDefault="005F4A7D" w:rsidP="005F4A7D">
      <w:pPr>
        <w:rPr>
          <w:rFonts w:ascii="Calibri" w:hAnsi="Calibri" w:cs="Calibri"/>
        </w:rPr>
      </w:pPr>
    </w:p>
    <w:p w:rsidR="005F4A7D" w:rsidRDefault="005F4A7D" w:rsidP="005F4A7D">
      <w:pPr>
        <w:rPr>
          <w:rFonts w:ascii="Calibri" w:hAnsi="Calibri" w:cs="Calibri"/>
        </w:rPr>
      </w:pPr>
    </w:p>
    <w:p w:rsidR="005F4A7D" w:rsidRDefault="005F4A7D" w:rsidP="005F4A7D">
      <w:pPr>
        <w:rPr>
          <w:rFonts w:ascii="Calibri" w:hAnsi="Calibri" w:cs="Calibri"/>
        </w:rPr>
      </w:pPr>
      <w:r>
        <w:rPr>
          <w:rFonts w:ascii="Calibri" w:hAnsi="Calibri" w:cs="Calibri"/>
        </w:rPr>
        <w:t xml:space="preserve">Żołędowo, dnia </w:t>
      </w:r>
      <w:r w:rsidR="006C015B">
        <w:rPr>
          <w:rFonts w:ascii="Calibri" w:hAnsi="Calibri" w:cs="Calibri"/>
        </w:rPr>
        <w:t>09</w:t>
      </w:r>
      <w:r>
        <w:rPr>
          <w:rFonts w:ascii="Calibri" w:hAnsi="Calibri" w:cs="Calibri"/>
        </w:rPr>
        <w:t>.0</w:t>
      </w:r>
      <w:r w:rsidR="00917C61">
        <w:rPr>
          <w:rFonts w:ascii="Calibri" w:hAnsi="Calibri" w:cs="Calibri"/>
        </w:rPr>
        <w:t>7</w:t>
      </w:r>
      <w:r>
        <w:rPr>
          <w:rFonts w:ascii="Calibri" w:hAnsi="Calibri" w:cs="Calibri"/>
        </w:rPr>
        <w:t>.2021 r.</w:t>
      </w:r>
    </w:p>
    <w:p w:rsidR="002545D7" w:rsidRDefault="002545D7" w:rsidP="005F4A7D">
      <w:pPr>
        <w:rPr>
          <w:rFonts w:ascii="Calibri" w:hAnsi="Calibri" w:cs="Calibri"/>
        </w:rPr>
      </w:pPr>
    </w:p>
    <w:p w:rsidR="003E695D" w:rsidRDefault="003E695D" w:rsidP="005F4A7D">
      <w:pPr>
        <w:rPr>
          <w:rFonts w:ascii="Calibri" w:hAnsi="Calibri" w:cs="Calibri"/>
        </w:rPr>
      </w:pPr>
    </w:p>
    <w:p w:rsidR="003E695D" w:rsidRDefault="003E695D" w:rsidP="005F4A7D">
      <w:pPr>
        <w:rPr>
          <w:rFonts w:ascii="Calibri" w:hAnsi="Calibri" w:cs="Calibri"/>
        </w:rPr>
      </w:pPr>
    </w:p>
    <w:p w:rsidR="003E695D" w:rsidRPr="005F4A7D" w:rsidRDefault="003E695D" w:rsidP="005F4A7D">
      <w:pPr>
        <w:rPr>
          <w:rFonts w:ascii="Calibri" w:hAnsi="Calibri" w:cs="Calibri"/>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2545D7" w:rsidRDefault="002545D7" w:rsidP="002545D7">
      <w:pPr>
        <w:spacing w:line="120" w:lineRule="auto"/>
        <w:jc w:val="both"/>
        <w:rPr>
          <w:rFonts w:ascii="Calibri" w:hAnsi="Calibri"/>
          <w:b/>
          <w:bCs/>
          <w:color w:val="000000" w:themeColor="text1"/>
        </w:rPr>
      </w:pPr>
    </w:p>
    <w:p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rsidR="005F4A7D" w:rsidRDefault="005F4A7D" w:rsidP="005F4A7D">
      <w:pPr>
        <w:jc w:val="both"/>
        <w:rPr>
          <w:rFonts w:asciiTheme="minorHAnsi" w:hAnsiTheme="minorHAnsi" w:cstheme="minorHAnsi"/>
          <w:color w:val="000000" w:themeColor="text1"/>
          <w:sz w:val="20"/>
          <w:szCs w:val="20"/>
        </w:rPr>
      </w:pPr>
    </w:p>
    <w:p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rsidR="008E6077" w:rsidRPr="005F4A7D" w:rsidRDefault="008E6077" w:rsidP="005F4A7D">
      <w:pPr>
        <w:tabs>
          <w:tab w:val="left" w:pos="540"/>
        </w:tabs>
        <w:jc w:val="both"/>
        <w:rPr>
          <w:rFonts w:ascii="Calibri" w:hAnsi="Calibri" w:cs="Calibri"/>
          <w:iCs/>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BF7264" w:rsidRPr="00BB17B1" w:rsidRDefault="001C0875" w:rsidP="008E6077">
      <w:pPr>
        <w:widowControl w:val="0"/>
        <w:numPr>
          <w:ilvl w:val="0"/>
          <w:numId w:val="1"/>
        </w:numPr>
        <w:autoSpaceDE w:val="0"/>
        <w:autoSpaceDN w:val="0"/>
        <w:adjustRightInd w:val="0"/>
        <w:jc w:val="both"/>
        <w:rPr>
          <w:rFonts w:ascii="Calibri" w:eastAsiaTheme="minorHAnsi" w:hAnsi="Calibri" w:cstheme="minorBidi"/>
          <w:sz w:val="20"/>
          <w:szCs w:val="20"/>
          <w:lang w:eastAsia="en-US"/>
        </w:rPr>
      </w:pPr>
      <w:r w:rsidRPr="00BB17B1">
        <w:rPr>
          <w:rFonts w:ascii="Calibri" w:eastAsia="Calibri" w:hAnsi="Calibri" w:cstheme="minorBidi"/>
          <w:sz w:val="20"/>
          <w:szCs w:val="20"/>
          <w:lang w:eastAsia="en-US"/>
        </w:rPr>
        <w:t xml:space="preserve">Wykonanie </w:t>
      </w:r>
      <w:r w:rsidR="00FC79CD" w:rsidRPr="00BB17B1">
        <w:rPr>
          <w:rFonts w:ascii="Calibri" w:eastAsia="Calibri" w:hAnsi="Calibri" w:cstheme="minorBidi"/>
          <w:sz w:val="20"/>
          <w:szCs w:val="20"/>
          <w:lang w:eastAsia="en-US"/>
        </w:rPr>
        <w:t>remontu pierścienia ronda</w:t>
      </w:r>
      <w:r w:rsidRPr="00BB17B1">
        <w:rPr>
          <w:rFonts w:ascii="Calibri" w:eastAsia="Calibri" w:hAnsi="Calibri" w:cstheme="minorBidi"/>
          <w:sz w:val="20"/>
          <w:szCs w:val="20"/>
          <w:lang w:eastAsia="en-US"/>
        </w:rPr>
        <w:t xml:space="preserve"> </w:t>
      </w:r>
      <w:r w:rsidR="00FC79CD" w:rsidRPr="00BB17B1">
        <w:rPr>
          <w:rFonts w:ascii="Calibri" w:eastAsia="Calibri" w:hAnsi="Calibri" w:cstheme="minorBidi"/>
          <w:sz w:val="20"/>
          <w:szCs w:val="20"/>
          <w:lang w:eastAsia="en-US"/>
        </w:rPr>
        <w:t>przy ul. J. Słowackiego – wymiana kostki granitowej rzędowej 9/11 na kostkę granitową rzędową 15/17 – powierzchnia 80m</w:t>
      </w:r>
      <w:r w:rsidR="00FC79CD" w:rsidRPr="00BB17B1">
        <w:rPr>
          <w:rFonts w:ascii="Calibri" w:eastAsia="Calibri" w:hAnsi="Calibri" w:cstheme="minorBidi"/>
          <w:sz w:val="20"/>
          <w:szCs w:val="20"/>
          <w:vertAlign w:val="superscript"/>
          <w:lang w:eastAsia="en-US"/>
        </w:rPr>
        <w:t>2</w:t>
      </w:r>
    </w:p>
    <w:p w:rsidR="00FC79CD" w:rsidRPr="00BB17B1" w:rsidRDefault="00FC79CD" w:rsidP="008E6077">
      <w:pPr>
        <w:widowControl w:val="0"/>
        <w:numPr>
          <w:ilvl w:val="0"/>
          <w:numId w:val="1"/>
        </w:numPr>
        <w:autoSpaceDE w:val="0"/>
        <w:autoSpaceDN w:val="0"/>
        <w:adjustRightInd w:val="0"/>
        <w:jc w:val="both"/>
        <w:rPr>
          <w:rFonts w:ascii="Calibri" w:eastAsiaTheme="minorHAnsi" w:hAnsi="Calibri" w:cstheme="minorBidi"/>
          <w:sz w:val="20"/>
          <w:szCs w:val="20"/>
          <w:lang w:eastAsia="en-US"/>
        </w:rPr>
      </w:pPr>
      <w:r w:rsidRPr="00BB17B1">
        <w:rPr>
          <w:rFonts w:ascii="Calibri" w:eastAsiaTheme="minorHAnsi" w:hAnsi="Calibri" w:cstheme="minorBidi"/>
          <w:sz w:val="20"/>
          <w:szCs w:val="20"/>
          <w:lang w:eastAsia="en-US"/>
        </w:rPr>
        <w:t>Wykonanie remontu pierścienia ronda przy ul. J. Pawła II – wymiana opornika</w:t>
      </w:r>
      <w:r w:rsidR="00BB17B1" w:rsidRPr="00BB17B1">
        <w:rPr>
          <w:rFonts w:ascii="Calibri" w:eastAsiaTheme="minorHAnsi" w:hAnsi="Calibri" w:cstheme="minorBidi"/>
          <w:sz w:val="20"/>
          <w:szCs w:val="20"/>
          <w:lang w:eastAsia="en-US"/>
        </w:rPr>
        <w:t xml:space="preserve"> betonowego na </w:t>
      </w:r>
      <w:proofErr w:type="spellStart"/>
      <w:r w:rsidR="00BB17B1" w:rsidRPr="00BB17B1">
        <w:rPr>
          <w:rFonts w:ascii="Calibri" w:eastAsiaTheme="minorHAnsi" w:hAnsi="Calibri" w:cstheme="minorBidi"/>
          <w:sz w:val="20"/>
          <w:szCs w:val="20"/>
          <w:lang w:eastAsia="en-US"/>
        </w:rPr>
        <w:t>poprnik</w:t>
      </w:r>
      <w:proofErr w:type="spellEnd"/>
      <w:r w:rsidR="00BB17B1" w:rsidRPr="00BB17B1">
        <w:rPr>
          <w:rFonts w:ascii="Calibri" w:eastAsiaTheme="minorHAnsi" w:hAnsi="Calibri" w:cstheme="minorBidi"/>
          <w:sz w:val="20"/>
          <w:szCs w:val="20"/>
          <w:lang w:eastAsia="en-US"/>
        </w:rPr>
        <w:t xml:space="preserve"> kamienny – 38mb</w:t>
      </w:r>
    </w:p>
    <w:p w:rsidR="00BF7264" w:rsidRPr="00BB17B1" w:rsidRDefault="00BF7264" w:rsidP="00BB17B1">
      <w:pPr>
        <w:widowControl w:val="0"/>
        <w:autoSpaceDE w:val="0"/>
        <w:autoSpaceDN w:val="0"/>
        <w:adjustRightInd w:val="0"/>
        <w:jc w:val="both"/>
        <w:rPr>
          <w:rFonts w:ascii="Calibri" w:eastAsiaTheme="minorHAnsi" w:hAnsi="Calibri" w:cstheme="minorBidi"/>
          <w:sz w:val="20"/>
          <w:szCs w:val="20"/>
          <w:lang w:eastAsia="en-US"/>
        </w:rPr>
      </w:pPr>
    </w:p>
    <w:p w:rsidR="005F4A7D" w:rsidRPr="00BB17B1" w:rsidRDefault="005F4A7D" w:rsidP="003A1CD0">
      <w:pPr>
        <w:spacing w:before="120"/>
        <w:jc w:val="both"/>
        <w:rPr>
          <w:rFonts w:ascii="Calibri" w:hAnsi="Calibri"/>
          <w:b/>
          <w:sz w:val="20"/>
          <w:szCs w:val="20"/>
          <w:u w:val="single"/>
        </w:rPr>
      </w:pPr>
      <w:r w:rsidRPr="00BB17B1">
        <w:rPr>
          <w:rFonts w:ascii="Calibri" w:hAnsi="Calibri"/>
          <w:b/>
          <w:sz w:val="20"/>
          <w:szCs w:val="20"/>
          <w:u w:val="single"/>
        </w:rPr>
        <w:t>Uwagi:</w:t>
      </w:r>
    </w:p>
    <w:p w:rsidR="005F4A7D" w:rsidRPr="00BB17B1" w:rsidRDefault="005F4A7D" w:rsidP="007804E7">
      <w:pPr>
        <w:pStyle w:val="Bezodstpw"/>
        <w:numPr>
          <w:ilvl w:val="0"/>
          <w:numId w:val="38"/>
        </w:numPr>
        <w:spacing w:before="120" w:after="120"/>
        <w:jc w:val="both"/>
        <w:rPr>
          <w:rFonts w:asciiTheme="minorHAnsi" w:hAnsiTheme="minorHAnsi" w:cstheme="minorHAnsi"/>
        </w:rPr>
      </w:pPr>
      <w:r w:rsidRPr="00BB17B1">
        <w:rPr>
          <w:rFonts w:asciiTheme="minorHAnsi" w:hAnsiTheme="minorHAnsi" w:cstheme="minorHAnsi"/>
        </w:rPr>
        <w:t xml:space="preserve">Wykonawca zobowiązany do realizacji budowy zadań zgodnie z </w:t>
      </w:r>
      <w:r w:rsidR="0031151B" w:rsidRPr="00BB17B1">
        <w:rPr>
          <w:rFonts w:asciiTheme="minorHAnsi" w:hAnsiTheme="minorHAnsi" w:cstheme="minorHAnsi"/>
        </w:rPr>
        <w:t>SST</w:t>
      </w:r>
      <w:r w:rsidRPr="00BB17B1">
        <w:rPr>
          <w:rFonts w:asciiTheme="minorHAnsi" w:hAnsiTheme="minorHAnsi" w:cstheme="minorHAnsi"/>
        </w:rPr>
        <w:t>.</w:t>
      </w:r>
    </w:p>
    <w:p w:rsidR="005F4A7D" w:rsidRPr="00BB17B1" w:rsidRDefault="005F4A7D" w:rsidP="007804E7">
      <w:pPr>
        <w:widowControl w:val="0"/>
        <w:numPr>
          <w:ilvl w:val="0"/>
          <w:numId w:val="38"/>
        </w:numPr>
        <w:suppressAutoHyphens/>
        <w:autoSpaceDE w:val="0"/>
        <w:spacing w:after="120"/>
        <w:jc w:val="both"/>
        <w:rPr>
          <w:rFonts w:ascii="Calibri" w:hAnsi="Calibri"/>
          <w:sz w:val="20"/>
          <w:szCs w:val="20"/>
        </w:rPr>
      </w:pPr>
      <w:r w:rsidRPr="00BB17B1">
        <w:rPr>
          <w:rFonts w:asciiTheme="minorHAnsi" w:hAnsiTheme="minorHAnsi" w:cstheme="minorHAnsi"/>
          <w:sz w:val="20"/>
          <w:szCs w:val="20"/>
        </w:rPr>
        <w:t>Roboty wykonane zostaną zgodnie z wiedzą i sztuką budowlaną oraz właściwymi przepisami i normami.</w:t>
      </w:r>
    </w:p>
    <w:p w:rsidR="005F4A7D" w:rsidRPr="00BB17B1" w:rsidRDefault="005F4A7D" w:rsidP="007804E7">
      <w:pPr>
        <w:pStyle w:val="Bezodstpw"/>
        <w:numPr>
          <w:ilvl w:val="0"/>
          <w:numId w:val="38"/>
        </w:numPr>
        <w:spacing w:before="120" w:after="120"/>
        <w:jc w:val="both"/>
        <w:rPr>
          <w:rFonts w:asciiTheme="minorHAnsi" w:hAnsiTheme="minorHAnsi" w:cstheme="minorHAnsi"/>
        </w:rPr>
      </w:pPr>
      <w:r w:rsidRPr="00BB17B1">
        <w:rPr>
          <w:rFonts w:asciiTheme="minorHAnsi" w:hAnsiTheme="minorHAnsi" w:cstheme="minorHAnsi"/>
        </w:rPr>
        <w:t>Przy przekazaniu placu budowy należy spisać protokół zawierający wykaz ewentualnych przeszkód.</w:t>
      </w:r>
    </w:p>
    <w:p w:rsidR="005F4A7D" w:rsidRPr="00BB17B1" w:rsidRDefault="005F4A7D" w:rsidP="007804E7">
      <w:pPr>
        <w:pStyle w:val="Bezodstpw"/>
        <w:numPr>
          <w:ilvl w:val="0"/>
          <w:numId w:val="38"/>
        </w:numPr>
        <w:spacing w:before="120" w:after="120"/>
        <w:jc w:val="both"/>
        <w:rPr>
          <w:rFonts w:asciiTheme="minorHAnsi" w:hAnsiTheme="minorHAnsi" w:cstheme="minorHAnsi"/>
        </w:rPr>
      </w:pPr>
      <w:r w:rsidRPr="00BB17B1">
        <w:rPr>
          <w:rFonts w:asciiTheme="minorHAnsi" w:hAnsiTheme="minorHAnsi" w:cstheme="minorHAnsi"/>
        </w:rPr>
        <w:t xml:space="preserve">Zamawiający zobowiązuje się dostarczyć </w:t>
      </w:r>
      <w:r w:rsidR="0070650B" w:rsidRPr="00BB17B1">
        <w:rPr>
          <w:rFonts w:asciiTheme="minorHAnsi" w:hAnsiTheme="minorHAnsi" w:cstheme="minorHAnsi"/>
        </w:rPr>
        <w:t>mapy z sieciami uzbrojenia</w:t>
      </w:r>
      <w:r w:rsidRPr="00BB17B1">
        <w:rPr>
          <w:rFonts w:asciiTheme="minorHAnsi" w:hAnsiTheme="minorHAnsi" w:cstheme="minorHAnsi"/>
        </w:rPr>
        <w:t xml:space="preserve"> w dniu przekazania placu </w:t>
      </w:r>
      <w:r w:rsidRPr="00BB17B1">
        <w:rPr>
          <w:rFonts w:asciiTheme="minorHAnsi" w:hAnsiTheme="minorHAnsi" w:cstheme="minorHAnsi"/>
        </w:rPr>
        <w:lastRenderedPageBreak/>
        <w:t>budowy.</w:t>
      </w:r>
    </w:p>
    <w:p w:rsidR="005F4A7D" w:rsidRPr="00BB17B1" w:rsidRDefault="005F4A7D" w:rsidP="007804E7">
      <w:pPr>
        <w:pStyle w:val="Akapitzlist"/>
        <w:numPr>
          <w:ilvl w:val="0"/>
          <w:numId w:val="38"/>
        </w:numPr>
        <w:jc w:val="both"/>
        <w:rPr>
          <w:rFonts w:cstheme="minorHAnsi"/>
          <w:sz w:val="20"/>
          <w:szCs w:val="20"/>
        </w:rPr>
      </w:pPr>
      <w:r w:rsidRPr="00BB17B1">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rsidR="005F4A7D" w:rsidRPr="00BB17B1" w:rsidRDefault="005F4A7D" w:rsidP="007804E7">
      <w:pPr>
        <w:widowControl w:val="0"/>
        <w:numPr>
          <w:ilvl w:val="0"/>
          <w:numId w:val="38"/>
        </w:numPr>
        <w:suppressAutoHyphens/>
        <w:autoSpaceDE w:val="0"/>
        <w:spacing w:after="120"/>
        <w:jc w:val="both"/>
        <w:rPr>
          <w:rFonts w:ascii="Calibri" w:hAnsi="Calibri"/>
          <w:sz w:val="20"/>
          <w:szCs w:val="20"/>
        </w:rPr>
      </w:pPr>
      <w:r w:rsidRPr="00BB17B1">
        <w:rPr>
          <w:rFonts w:ascii="Calibri" w:hAnsi="Calibri"/>
          <w:sz w:val="20"/>
          <w:szCs w:val="20"/>
        </w:rPr>
        <w:t>Przekazanie pla</w:t>
      </w:r>
      <w:r w:rsidR="0070650B" w:rsidRPr="00BB17B1">
        <w:rPr>
          <w:rFonts w:ascii="Calibri" w:hAnsi="Calibri"/>
          <w:sz w:val="20"/>
          <w:szCs w:val="20"/>
        </w:rPr>
        <w:t xml:space="preserve">cu budowy nastąpi w terminie 7 </w:t>
      </w:r>
      <w:r w:rsidRPr="00BB17B1">
        <w:rPr>
          <w:rFonts w:ascii="Calibri" w:hAnsi="Calibri"/>
          <w:sz w:val="20"/>
          <w:szCs w:val="20"/>
        </w:rPr>
        <w:t>dni od podpisania umowy.</w:t>
      </w:r>
    </w:p>
    <w:p w:rsidR="008E6077" w:rsidRPr="00BB17B1" w:rsidRDefault="005F4A7D" w:rsidP="007804E7">
      <w:pPr>
        <w:numPr>
          <w:ilvl w:val="0"/>
          <w:numId w:val="38"/>
        </w:numPr>
        <w:spacing w:after="120"/>
        <w:jc w:val="both"/>
        <w:rPr>
          <w:rFonts w:ascii="Calibri" w:hAnsi="Calibri"/>
          <w:sz w:val="20"/>
          <w:szCs w:val="20"/>
        </w:rPr>
      </w:pPr>
      <w:r w:rsidRPr="00BB17B1">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5F4A7D" w:rsidRPr="00BB17B1" w:rsidRDefault="005F4A7D" w:rsidP="008E6077">
      <w:pPr>
        <w:pStyle w:val="Akapitzlist"/>
        <w:numPr>
          <w:ilvl w:val="0"/>
          <w:numId w:val="32"/>
        </w:numPr>
        <w:spacing w:before="120" w:after="120" w:line="276" w:lineRule="auto"/>
        <w:jc w:val="both"/>
        <w:rPr>
          <w:rFonts w:ascii="Calibri" w:hAnsi="Calibri"/>
          <w:sz w:val="20"/>
          <w:szCs w:val="20"/>
        </w:rPr>
      </w:pPr>
      <w:r w:rsidRPr="00BB17B1">
        <w:rPr>
          <w:rFonts w:ascii="Calibri" w:hAnsi="Calibri"/>
          <w:sz w:val="20"/>
          <w:szCs w:val="20"/>
        </w:rPr>
        <w:t>Nazwy i kody opisujące przedmiot zamówienia (CPV):</w:t>
      </w:r>
    </w:p>
    <w:p w:rsidR="005F4A7D" w:rsidRPr="00BB17B1" w:rsidRDefault="005F4A7D" w:rsidP="005F4A7D">
      <w:pPr>
        <w:widowControl w:val="0"/>
        <w:autoSpaceDE w:val="0"/>
        <w:autoSpaceDN w:val="0"/>
        <w:adjustRightInd w:val="0"/>
        <w:spacing w:before="120" w:after="120" w:line="276" w:lineRule="auto"/>
        <w:jc w:val="both"/>
        <w:rPr>
          <w:rFonts w:ascii="EUAlbertina" w:hAnsi="EUAlbertina" w:cs="EUAlbertina"/>
          <w:sz w:val="17"/>
          <w:szCs w:val="17"/>
        </w:rPr>
      </w:pPr>
      <w:r w:rsidRPr="00BB17B1">
        <w:rPr>
          <w:rFonts w:ascii="Calibri" w:hAnsi="Calibri"/>
          <w:b/>
          <w:sz w:val="20"/>
          <w:szCs w:val="20"/>
        </w:rPr>
        <w:t xml:space="preserve">45000000-7 - </w:t>
      </w:r>
      <w:r w:rsidRPr="00BB17B1">
        <w:rPr>
          <w:rFonts w:ascii="EUAlbertina" w:hAnsi="EUAlbertina" w:cs="EUAlbertina"/>
          <w:sz w:val="17"/>
          <w:szCs w:val="17"/>
        </w:rPr>
        <w:t>Roboty budowlane</w:t>
      </w:r>
    </w:p>
    <w:p w:rsidR="00FA4A67" w:rsidRPr="00BB17B1" w:rsidRDefault="00FA4A67" w:rsidP="00FA4A67">
      <w:pPr>
        <w:widowControl w:val="0"/>
        <w:autoSpaceDE w:val="0"/>
        <w:autoSpaceDN w:val="0"/>
        <w:adjustRightInd w:val="0"/>
        <w:spacing w:before="120" w:after="120" w:line="276" w:lineRule="auto"/>
        <w:jc w:val="both"/>
        <w:rPr>
          <w:rFonts w:ascii="Calibri" w:hAnsi="Calibri" w:cs="Tahoma"/>
          <w:sz w:val="20"/>
          <w:szCs w:val="20"/>
        </w:rPr>
      </w:pPr>
      <w:r w:rsidRPr="00BB17B1">
        <w:rPr>
          <w:rFonts w:ascii="Calibri" w:hAnsi="Calibri"/>
          <w:b/>
          <w:sz w:val="20"/>
          <w:szCs w:val="20"/>
        </w:rPr>
        <w:t>45233220-7</w:t>
      </w:r>
      <w:r w:rsidR="005F4A7D" w:rsidRPr="00BB17B1">
        <w:rPr>
          <w:rFonts w:ascii="Calibri" w:hAnsi="Calibri"/>
          <w:b/>
          <w:sz w:val="20"/>
          <w:szCs w:val="20"/>
        </w:rPr>
        <w:t xml:space="preserve"> - </w:t>
      </w:r>
      <w:r w:rsidR="005F4A7D" w:rsidRPr="00BB17B1">
        <w:rPr>
          <w:rFonts w:ascii="Calibri" w:hAnsi="Calibri" w:cs="Tahoma"/>
          <w:sz w:val="20"/>
          <w:szCs w:val="20"/>
        </w:rPr>
        <w:t xml:space="preserve">Roboty </w:t>
      </w:r>
      <w:r w:rsidRPr="00BB17B1">
        <w:rPr>
          <w:rFonts w:ascii="Calibri" w:hAnsi="Calibri" w:cs="Tahoma"/>
          <w:sz w:val="20"/>
          <w:szCs w:val="20"/>
        </w:rPr>
        <w:t>w zakresie nawierzchni dróg</w:t>
      </w:r>
    </w:p>
    <w:p w:rsidR="008E6077" w:rsidRPr="00BB17B1" w:rsidRDefault="008E6077" w:rsidP="00FA4A67">
      <w:pPr>
        <w:widowControl w:val="0"/>
        <w:autoSpaceDE w:val="0"/>
        <w:autoSpaceDN w:val="0"/>
        <w:adjustRightInd w:val="0"/>
        <w:spacing w:before="120" w:after="120" w:line="276" w:lineRule="auto"/>
        <w:jc w:val="both"/>
        <w:rPr>
          <w:rFonts w:cstheme="minorHAnsi"/>
          <w:sz w:val="20"/>
          <w:szCs w:val="20"/>
        </w:rPr>
      </w:pPr>
      <w:r w:rsidRPr="00BB17B1">
        <w:rPr>
          <w:rFonts w:cstheme="minorHAnsi"/>
          <w:sz w:val="20"/>
          <w:szCs w:val="20"/>
        </w:rPr>
        <w:t xml:space="preserve">Opis części zamówienia: </w:t>
      </w:r>
    </w:p>
    <w:p w:rsidR="008E6077" w:rsidRPr="00BB17B1" w:rsidRDefault="008E6077" w:rsidP="008E6077">
      <w:pPr>
        <w:jc w:val="both"/>
        <w:rPr>
          <w:rFonts w:ascii="Calibri" w:hAnsi="Calibri"/>
          <w:sz w:val="20"/>
          <w:szCs w:val="20"/>
        </w:rPr>
      </w:pPr>
      <w:r w:rsidRPr="00BB17B1">
        <w:rPr>
          <w:rFonts w:ascii="Calibri" w:hAnsi="Calibri"/>
          <w:sz w:val="20"/>
          <w:szCs w:val="20"/>
        </w:rPr>
        <w:t xml:space="preserve">Zamawiający </w:t>
      </w:r>
      <w:r w:rsidR="00C42703" w:rsidRPr="00BB17B1">
        <w:rPr>
          <w:rFonts w:ascii="Calibri" w:hAnsi="Calibri"/>
          <w:sz w:val="20"/>
          <w:szCs w:val="20"/>
        </w:rPr>
        <w:t xml:space="preserve">nie </w:t>
      </w:r>
      <w:r w:rsidR="00641DC2" w:rsidRPr="00BB17B1">
        <w:rPr>
          <w:rFonts w:ascii="Calibri" w:hAnsi="Calibri"/>
          <w:sz w:val="20"/>
          <w:szCs w:val="20"/>
        </w:rPr>
        <w:t>dopuszcza składania</w:t>
      </w:r>
      <w:r w:rsidRPr="00BB17B1">
        <w:rPr>
          <w:rFonts w:ascii="Calibri" w:hAnsi="Calibri"/>
          <w:sz w:val="20"/>
          <w:szCs w:val="20"/>
        </w:rPr>
        <w:t xml:space="preserve"> ofert częściowych </w:t>
      </w:r>
    </w:p>
    <w:p w:rsidR="008E6077" w:rsidRPr="008E6077" w:rsidRDefault="008E6077" w:rsidP="008E6077">
      <w:pPr>
        <w:jc w:val="both"/>
        <w:rPr>
          <w:rFonts w:cstheme="minorHAnsi"/>
          <w:color w:val="000000" w:themeColor="text1"/>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5F4A7D" w:rsidRPr="00BB17B1" w:rsidRDefault="005F4A7D" w:rsidP="005F4A7D">
      <w:pPr>
        <w:spacing w:before="120" w:after="120" w:line="276" w:lineRule="auto"/>
        <w:jc w:val="both"/>
        <w:rPr>
          <w:rFonts w:ascii="Calibri" w:hAnsi="Calibri"/>
          <w:sz w:val="20"/>
          <w:szCs w:val="20"/>
          <w:u w:val="single"/>
        </w:rPr>
      </w:pPr>
      <w:r>
        <w:rPr>
          <w:rFonts w:ascii="Calibri" w:hAnsi="Calibri"/>
          <w:sz w:val="20"/>
          <w:szCs w:val="20"/>
          <w:u w:val="single"/>
        </w:rPr>
        <w:t>1.Zamawiający wymaga realizacji zamówienia w terminie do</w:t>
      </w:r>
      <w:r w:rsidR="00BB17B1">
        <w:rPr>
          <w:rFonts w:ascii="Calibri" w:hAnsi="Calibri"/>
          <w:sz w:val="20"/>
          <w:szCs w:val="20"/>
          <w:u w:val="single"/>
        </w:rPr>
        <w:t xml:space="preserve"> </w:t>
      </w:r>
      <w:r w:rsidRPr="00BB17B1">
        <w:rPr>
          <w:rFonts w:ascii="Calibri" w:hAnsi="Calibri"/>
          <w:sz w:val="20"/>
          <w:szCs w:val="20"/>
          <w:u w:val="single"/>
        </w:rPr>
        <w:t xml:space="preserve"> </w:t>
      </w:r>
      <w:r w:rsidR="00BB17B1" w:rsidRPr="00BB17B1">
        <w:rPr>
          <w:rFonts w:ascii="Calibri" w:hAnsi="Calibri"/>
          <w:b/>
          <w:bCs/>
          <w:sz w:val="20"/>
          <w:szCs w:val="20"/>
          <w:u w:val="single"/>
        </w:rPr>
        <w:t>4</w:t>
      </w:r>
      <w:r w:rsidR="00FB6A1B" w:rsidRPr="00BB17B1">
        <w:rPr>
          <w:rFonts w:ascii="Calibri" w:hAnsi="Calibri"/>
          <w:b/>
          <w:bCs/>
          <w:sz w:val="20"/>
          <w:szCs w:val="20"/>
          <w:u w:val="single"/>
        </w:rPr>
        <w:t xml:space="preserve"> miesięcy</w:t>
      </w:r>
      <w:r w:rsidR="00010D00" w:rsidRPr="00BB17B1">
        <w:rPr>
          <w:rFonts w:ascii="Calibri" w:hAnsi="Calibri"/>
          <w:b/>
          <w:bCs/>
          <w:sz w:val="20"/>
          <w:szCs w:val="20"/>
          <w:u w:val="single"/>
        </w:rPr>
        <w:t xml:space="preserve"> od dnia podpisania umowy</w:t>
      </w:r>
    </w:p>
    <w:p w:rsidR="007E1A34"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p>
    <w:p w:rsidR="005F4A7D" w:rsidRPr="00BB17B1" w:rsidRDefault="005F4A7D" w:rsidP="005F4A7D">
      <w:pPr>
        <w:autoSpaceDE w:val="0"/>
        <w:autoSpaceDN w:val="0"/>
        <w:adjustRightInd w:val="0"/>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Pr="00BB17B1">
        <w:rPr>
          <w:rFonts w:asciiTheme="minorHAnsi" w:eastAsiaTheme="minorHAnsi" w:hAnsiTheme="minorHAnsi" w:cstheme="minorHAnsi"/>
          <w:sz w:val="20"/>
          <w:szCs w:val="20"/>
          <w:lang w:eastAsia="en-US"/>
        </w:rPr>
        <w:t>:</w:t>
      </w:r>
      <w:r w:rsidR="0070650B" w:rsidRPr="00BB17B1">
        <w:rPr>
          <w:rFonts w:asciiTheme="minorHAnsi" w:eastAsiaTheme="minorHAnsi" w:hAnsiTheme="minorHAnsi" w:cstheme="minorHAnsi"/>
          <w:sz w:val="20"/>
          <w:szCs w:val="20"/>
          <w:lang w:eastAsia="en-US"/>
        </w:rPr>
        <w:t xml:space="preserve"> </w:t>
      </w:r>
      <w:r w:rsidRPr="00BB17B1">
        <w:rPr>
          <w:rFonts w:asciiTheme="minorHAnsi" w:eastAsiaTheme="minorHAnsi" w:hAnsiTheme="minorHAnsi" w:cstheme="minorHAnsi"/>
          <w:b/>
          <w:bCs/>
          <w:i/>
          <w:iCs/>
          <w:sz w:val="20"/>
          <w:szCs w:val="20"/>
          <w:lang w:eastAsia="en-US"/>
        </w:rPr>
        <w:t>2 roboty b</w:t>
      </w:r>
      <w:r w:rsidR="00BB17B1" w:rsidRPr="00BB17B1">
        <w:rPr>
          <w:rFonts w:asciiTheme="minorHAnsi" w:eastAsiaTheme="minorHAnsi" w:hAnsiTheme="minorHAnsi" w:cstheme="minorHAnsi"/>
          <w:b/>
          <w:bCs/>
          <w:i/>
          <w:iCs/>
          <w:sz w:val="20"/>
          <w:szCs w:val="20"/>
          <w:lang w:eastAsia="en-US"/>
        </w:rPr>
        <w:t>udowlane polegające na wykonaniu nawierzchni z kostki granitowej rzędowej 15/17 lub innej granitowej ze spoinowaniem</w:t>
      </w:r>
      <w:r w:rsidRPr="00BB17B1">
        <w:rPr>
          <w:rFonts w:asciiTheme="minorHAnsi" w:eastAsiaTheme="minorHAnsi" w:hAnsiTheme="minorHAnsi" w:cstheme="minorHAnsi"/>
          <w:b/>
          <w:bCs/>
          <w:i/>
          <w:iCs/>
          <w:sz w:val="20"/>
          <w:szCs w:val="20"/>
          <w:lang w:eastAsia="en-US"/>
        </w:rPr>
        <w:t xml:space="preserve"> </w:t>
      </w:r>
    </w:p>
    <w:p w:rsidR="005F4A7D" w:rsidRPr="00BB17B1" w:rsidRDefault="005F4A7D" w:rsidP="005F4A7D">
      <w:pPr>
        <w:autoSpaceDE w:val="0"/>
        <w:autoSpaceDN w:val="0"/>
        <w:adjustRightInd w:val="0"/>
        <w:rPr>
          <w:rFonts w:asciiTheme="minorHAnsi" w:eastAsiaTheme="minorHAnsi" w:hAnsiTheme="minorHAnsi" w:cstheme="minorHAnsi"/>
          <w:sz w:val="20"/>
          <w:szCs w:val="20"/>
          <w:lang w:eastAsia="en-US"/>
        </w:rPr>
      </w:pPr>
      <w:r w:rsidRPr="00BB17B1">
        <w:rPr>
          <w:rFonts w:asciiTheme="minorHAnsi" w:eastAsiaTheme="minorHAnsi" w:hAnsiTheme="minorHAnsi" w:cstheme="minorHAnsi"/>
          <w:b/>
          <w:bCs/>
          <w:sz w:val="20"/>
          <w:szCs w:val="20"/>
          <w:lang w:eastAsia="en-US"/>
        </w:rPr>
        <w:t>b) kwalifikacje zawodowe kadry technicznej:</w:t>
      </w:r>
    </w:p>
    <w:p w:rsidR="005F4A7D" w:rsidRPr="00BB17B1" w:rsidRDefault="005F4A7D" w:rsidP="005F4A7D">
      <w:pPr>
        <w:autoSpaceDE w:val="0"/>
        <w:autoSpaceDN w:val="0"/>
        <w:adjustRightInd w:val="0"/>
        <w:rPr>
          <w:rFonts w:asciiTheme="minorHAnsi" w:eastAsiaTheme="minorHAnsi" w:hAnsiTheme="minorHAnsi" w:cstheme="minorHAnsi"/>
          <w:sz w:val="20"/>
          <w:szCs w:val="20"/>
          <w:lang w:eastAsia="en-US"/>
        </w:rPr>
      </w:pPr>
      <w:r w:rsidRPr="00BB17B1">
        <w:rPr>
          <w:rFonts w:asciiTheme="minorHAnsi" w:eastAsiaTheme="minorHAnsi" w:hAnsiTheme="minorHAnsi" w:cstheme="minorHAnsi"/>
          <w:sz w:val="20"/>
          <w:szCs w:val="20"/>
          <w:lang w:eastAsia="en-US"/>
        </w:rPr>
        <w:t xml:space="preserve">Wykonawca powinien wykazać, że dysponuje lub będzie dysponować: </w:t>
      </w:r>
      <w:r w:rsidRPr="00BB17B1">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w:t>
      </w:r>
      <w:r w:rsidR="00DF0069" w:rsidRPr="00BB17B1">
        <w:rPr>
          <w:rFonts w:asciiTheme="minorHAnsi" w:eastAsiaTheme="minorHAnsi" w:hAnsiTheme="minorHAnsi" w:cstheme="minorHAnsi"/>
          <w:b/>
          <w:bCs/>
          <w:i/>
          <w:iCs/>
          <w:sz w:val="20"/>
          <w:szCs w:val="20"/>
          <w:lang w:eastAsia="en-US"/>
        </w:rPr>
        <w:t>drogowej</w:t>
      </w:r>
      <w:r w:rsidRPr="00BB17B1">
        <w:rPr>
          <w:rFonts w:asciiTheme="minorHAnsi" w:eastAsiaTheme="minorHAnsi" w:hAnsiTheme="minorHAnsi" w:cstheme="minorHAnsi"/>
          <w:b/>
          <w:bCs/>
          <w:i/>
          <w:iCs/>
          <w:sz w:val="20"/>
          <w:szCs w:val="20"/>
          <w:lang w:eastAsia="en-US"/>
        </w:rPr>
        <w:t xml:space="preserve"> </w:t>
      </w:r>
    </w:p>
    <w:p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Uwaga:  W/w osoby muszą posiadać ważne uprawnienia budowlane, o których mowa w ustawie z dnia 7 lipca 1994 r. Prawo budowlane (Dz. U. z 2020 r. poz. 1333ze zm.) oraz w Rozporządzeniu Ministra Inwestycji i </w:t>
      </w:r>
      <w:r>
        <w:rPr>
          <w:rFonts w:asciiTheme="minorHAnsi" w:eastAsiaTheme="minorHAnsi" w:hAnsiTheme="minorHAnsi" w:cstheme="minorHAnsi"/>
          <w:color w:val="000000"/>
          <w:sz w:val="20"/>
          <w:szCs w:val="20"/>
          <w:lang w:eastAsia="en-US"/>
        </w:rPr>
        <w:lastRenderedPageBreak/>
        <w:t>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rsidR="005F4A7D" w:rsidRDefault="005F4A7D" w:rsidP="005F4A7D">
      <w:pPr>
        <w:rPr>
          <w:rFonts w:ascii="Calibri" w:hAnsi="Calibri" w:cs="Calibri"/>
          <w:sz w:val="20"/>
          <w:szCs w:val="20"/>
        </w:rPr>
      </w:pPr>
    </w:p>
    <w:p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 xml:space="preserve">11. Podmiot, który zobowiązał się do udostępnienia zasobów, odpowiada solidarnie z wykonawcą, który polega na jego sytuacji finansowej lub ekonomicznej, za szkodę poniesioną przez zamawiającego powstałą </w:t>
      </w:r>
      <w:r>
        <w:rPr>
          <w:rFonts w:ascii="Calibri" w:hAnsi="Calibri" w:cs="Calibri"/>
          <w:color w:val="000000"/>
          <w:sz w:val="20"/>
          <w:szCs w:val="20"/>
        </w:rPr>
        <w:lastRenderedPageBreak/>
        <w:t>wskutek nieudostępnienia tych zasobów, chyba że za nieudostępnienie zasobów podmiot ten nie ponosi winy.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F4A7D" w:rsidRDefault="005F4A7D" w:rsidP="005F4A7D">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rsidR="005F4A7D" w:rsidRDefault="005F4A7D" w:rsidP="005F4A7D">
      <w:pPr>
        <w:ind w:left="400" w:hangingChars="200" w:hanging="400"/>
        <w:jc w:val="both"/>
        <w:rPr>
          <w:rFonts w:ascii="Calibri" w:hAnsi="Calibri" w:cs="Calibri"/>
          <w:color w:val="000000"/>
          <w:sz w:val="20"/>
          <w:szCs w:val="20"/>
          <w:u w:val="single"/>
        </w:rPr>
      </w:pPr>
    </w:p>
    <w:p w:rsidR="007F360D" w:rsidRDefault="007F360D" w:rsidP="005F4A7D">
      <w:pPr>
        <w:ind w:left="400" w:hangingChars="200" w:hanging="400"/>
        <w:jc w:val="both"/>
        <w:rPr>
          <w:rFonts w:ascii="Calibri" w:hAnsi="Calibri" w:cs="Calibri"/>
          <w:color w:val="000000"/>
          <w:sz w:val="20"/>
          <w:szCs w:val="20"/>
          <w:u w:val="single"/>
        </w:rPr>
      </w:pPr>
    </w:p>
    <w:p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t>
      </w:r>
      <w:r>
        <w:rPr>
          <w:rFonts w:asciiTheme="minorHAnsi" w:hAnsiTheme="minorHAnsi" w:cstheme="minorHAnsi"/>
          <w:sz w:val="20"/>
          <w:szCs w:val="20"/>
        </w:rPr>
        <w:lastRenderedPageBreak/>
        <w:t xml:space="preserve">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rsidR="005F4A7D" w:rsidRPr="00BB17B1" w:rsidRDefault="005F4A7D" w:rsidP="005F4A7D">
      <w:pPr>
        <w:pStyle w:val="Akapitzlist"/>
        <w:numPr>
          <w:ilvl w:val="0"/>
          <w:numId w:val="6"/>
        </w:numPr>
        <w:rPr>
          <w:rFonts w:cstheme="minorHAnsi"/>
          <w:sz w:val="20"/>
          <w:szCs w:val="20"/>
        </w:rPr>
      </w:pPr>
      <w:r w:rsidRPr="00BB17B1">
        <w:rPr>
          <w:rFonts w:ascii="Calibri" w:eastAsia="Calibri" w:hAnsi="Calibri" w:cs="Calibri"/>
          <w:sz w:val="20"/>
        </w:rPr>
        <w:t>obsługa maszyn i pojazdów;</w:t>
      </w:r>
    </w:p>
    <w:p w:rsidR="005F4A7D" w:rsidRPr="00BB17B1" w:rsidRDefault="00554AD7" w:rsidP="005F4A7D">
      <w:pPr>
        <w:pStyle w:val="Akapitzlist"/>
        <w:numPr>
          <w:ilvl w:val="0"/>
          <w:numId w:val="6"/>
        </w:numPr>
        <w:rPr>
          <w:rFonts w:cstheme="minorHAnsi"/>
          <w:sz w:val="20"/>
          <w:szCs w:val="20"/>
        </w:rPr>
      </w:pPr>
      <w:r w:rsidRPr="00BB17B1">
        <w:rPr>
          <w:rFonts w:cstheme="minorHAnsi"/>
          <w:sz w:val="20"/>
          <w:szCs w:val="20"/>
        </w:rPr>
        <w:t>roboty drogowe</w:t>
      </w:r>
    </w:p>
    <w:p w:rsidR="005F4A7D" w:rsidRPr="00641DC2" w:rsidRDefault="005F4A7D" w:rsidP="00641DC2">
      <w:pPr>
        <w:autoSpaceDE w:val="0"/>
        <w:autoSpaceDN w:val="0"/>
        <w:adjustRightInd w:val="0"/>
        <w:jc w:val="both"/>
        <w:rPr>
          <w:rFonts w:asciiTheme="minorHAnsi" w:eastAsiaTheme="minorHAnsi" w:hAnsiTheme="minorHAnsi" w:cstheme="minorHAnsi"/>
          <w:sz w:val="20"/>
          <w:szCs w:val="20"/>
          <w:lang w:eastAsia="en-US"/>
        </w:rPr>
      </w:pPr>
      <w:r w:rsidRPr="00641DC2">
        <w:rPr>
          <w:rFonts w:asciiTheme="minorHAnsi" w:eastAsiaTheme="minorHAnsi" w:hAnsiTheme="minorHAnsi" w:cstheme="minorHAnsi"/>
          <w:sz w:val="20"/>
          <w:szCs w:val="20"/>
          <w:lang w:eastAsia="en-US"/>
        </w:rPr>
        <w:t xml:space="preserve">2) </w:t>
      </w:r>
      <w:r w:rsidRPr="00641DC2">
        <w:rPr>
          <w:rFonts w:asciiTheme="minorHAnsi" w:eastAsiaTheme="minorHAnsi" w:hAnsiTheme="minorHAnsi" w:cstheme="minorHAnsi"/>
          <w:b/>
          <w:bCs/>
          <w:sz w:val="20"/>
          <w:szCs w:val="20"/>
          <w:lang w:eastAsia="en-US"/>
        </w:rPr>
        <w:t>Zamawiający określa wymóg zatrudnienia na podstawie umowy o pracę przez Wykonawcę lub Podwykonawcę osób wykonujących czynności związane z</w:t>
      </w:r>
      <w:r w:rsidR="001948E1" w:rsidRPr="00641DC2">
        <w:rPr>
          <w:rFonts w:asciiTheme="minorHAnsi" w:eastAsiaTheme="minorHAnsi" w:hAnsiTheme="minorHAnsi" w:cstheme="minorHAnsi"/>
          <w:b/>
          <w:bCs/>
          <w:sz w:val="20"/>
          <w:szCs w:val="20"/>
          <w:lang w:eastAsia="en-US"/>
        </w:rPr>
        <w:t xml:space="preserve"> </w:t>
      </w:r>
      <w:r w:rsidR="00554AD7" w:rsidRPr="00641DC2">
        <w:rPr>
          <w:rFonts w:asciiTheme="minorHAnsi" w:eastAsiaTheme="minorHAnsi" w:hAnsiTheme="minorHAnsi" w:cstheme="minorHAnsi"/>
          <w:b/>
          <w:bCs/>
          <w:sz w:val="20"/>
          <w:szCs w:val="20"/>
          <w:lang w:eastAsia="en-US"/>
        </w:rPr>
        <w:t xml:space="preserve">remontem nawierzchni </w:t>
      </w:r>
      <w:r w:rsidR="00D60087">
        <w:rPr>
          <w:rFonts w:asciiTheme="minorHAnsi" w:eastAsiaTheme="minorHAnsi" w:hAnsiTheme="minorHAnsi" w:cstheme="minorHAnsi"/>
          <w:b/>
          <w:bCs/>
          <w:sz w:val="20"/>
          <w:szCs w:val="20"/>
          <w:lang w:eastAsia="en-US"/>
        </w:rPr>
        <w:t>z kostki granitowej rzędowej</w:t>
      </w:r>
      <w:r w:rsidRPr="00641DC2">
        <w:rPr>
          <w:rFonts w:asciiTheme="minorHAnsi" w:eastAsiaTheme="minorHAnsi" w:hAnsiTheme="minorHAnsi" w:cstheme="minorHAnsi"/>
          <w:b/>
          <w:bCs/>
          <w:sz w:val="20"/>
          <w:szCs w:val="20"/>
          <w:lang w:eastAsia="en-US"/>
        </w:rPr>
        <w:t>.</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sidRPr="00641DC2">
        <w:rPr>
          <w:rFonts w:asciiTheme="minorHAnsi" w:eastAsiaTheme="minorHAnsi" w:hAnsiTheme="minorHAnsi" w:cstheme="minorHAnsi"/>
          <w:sz w:val="20"/>
          <w:szCs w:val="20"/>
          <w:lang w:eastAsia="en-US"/>
        </w:rPr>
        <w:t xml:space="preserve">3) W trakcie realizacji zamówienia zamawiający uprawniony jest do wykonywania czynności kontrolnych </w:t>
      </w:r>
      <w:r>
        <w:rPr>
          <w:rFonts w:asciiTheme="minorHAnsi" w:eastAsiaTheme="minorHAnsi" w:hAnsiTheme="minorHAnsi" w:cstheme="minorHAnsi"/>
          <w:color w:val="000000"/>
          <w:sz w:val="20"/>
          <w:szCs w:val="20"/>
          <w:lang w:eastAsia="en-US"/>
        </w:rPr>
        <w:t xml:space="preserve">wobec wykonawcy odnośnie spełniania przez wykonawcę lub podwykonawcę wymogu zatrudnienia na podstawie umowy o pracę osób realizujących przedmiot zamówienia. Zamawiający uprawniony jest w szczególności do: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 xml:space="preserve">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w:t>
      </w:r>
      <w:r>
        <w:rPr>
          <w:rFonts w:cstheme="minorHAnsi"/>
          <w:color w:val="000000"/>
          <w:sz w:val="20"/>
          <w:szCs w:val="20"/>
        </w:rPr>
        <w:lastRenderedPageBreak/>
        <w:t>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5F4A7D" w:rsidRDefault="005F4A7D" w:rsidP="005F4A7D">
      <w:pPr>
        <w:tabs>
          <w:tab w:val="left" w:pos="5880"/>
        </w:tabs>
        <w:jc w:val="center"/>
        <w:rPr>
          <w:rFonts w:ascii="Calibri" w:hAnsi="Calibri"/>
          <w:color w:val="000000" w:themeColor="text1"/>
          <w:sz w:val="20"/>
          <w:szCs w:val="20"/>
        </w:rPr>
      </w:pPr>
    </w:p>
    <w:p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5F4A7D" w:rsidRDefault="005F4A7D" w:rsidP="005F4A7D">
      <w:pPr>
        <w:widowControl w:val="0"/>
        <w:spacing w:line="263" w:lineRule="exact"/>
        <w:jc w:val="both"/>
        <w:rPr>
          <w:rFonts w:ascii="Calibri" w:eastAsiaTheme="minorHAnsi" w:hAnsi="Calibri" w:cs="Calibri"/>
          <w:sz w:val="22"/>
          <w:szCs w:val="22"/>
          <w:lang w:eastAsia="en-US"/>
        </w:rPr>
      </w:pPr>
    </w:p>
    <w:p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rsidR="005F4A7D" w:rsidRPr="004B474F" w:rsidRDefault="005F4A7D" w:rsidP="00BB17B1">
      <w:pPr>
        <w:widowControl w:val="0"/>
        <w:tabs>
          <w:tab w:val="left" w:pos="1130"/>
        </w:tabs>
        <w:spacing w:after="57" w:line="259" w:lineRule="exact"/>
        <w:ind w:left="720"/>
        <w:rPr>
          <w:rFonts w:ascii="Calibri" w:eastAsiaTheme="minorHAnsi" w:hAnsi="Calibri" w:cs="Calibri"/>
          <w:color w:val="FF0000"/>
          <w:sz w:val="20"/>
          <w:szCs w:val="20"/>
          <w:lang w:eastAsia="en-US"/>
        </w:rPr>
      </w:pPr>
    </w:p>
    <w:p w:rsidR="005F4A7D" w:rsidRDefault="005F4A7D" w:rsidP="005F4A7D">
      <w:pPr>
        <w:tabs>
          <w:tab w:val="left" w:pos="540"/>
        </w:tabs>
        <w:jc w:val="both"/>
        <w:rPr>
          <w:rFonts w:ascii="Calibri" w:eastAsia="Calibri" w:hAnsi="Calibri" w:cs="Calibri"/>
          <w:color w:val="7030A0"/>
          <w:sz w:val="20"/>
          <w:szCs w:val="20"/>
          <w:lang w:eastAsia="en-US"/>
        </w:rPr>
      </w:pPr>
    </w:p>
    <w:p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5F4A7D" w:rsidRDefault="005F4A7D" w:rsidP="005F4A7D">
      <w:pPr>
        <w:tabs>
          <w:tab w:val="left" w:pos="5880"/>
        </w:tabs>
        <w:rPr>
          <w:rFonts w:ascii="Calibri" w:hAnsi="Calibri"/>
          <w:sz w:val="20"/>
          <w:szCs w:val="20"/>
        </w:rPr>
      </w:pPr>
    </w:p>
    <w:p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rsidR="005F4A7D" w:rsidRDefault="005F4A7D" w:rsidP="003D7938">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rsidR="005F4A7D" w:rsidRPr="007C18CC"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7C18CC">
        <w:rPr>
          <w:rFonts w:asciiTheme="minorHAnsi" w:hAnsiTheme="minorHAnsi" w:cstheme="minorHAnsi"/>
          <w:sz w:val="20"/>
          <w:szCs w:val="20"/>
        </w:rPr>
        <w:t>wykonawcy.</w:t>
      </w:r>
    </w:p>
    <w:p w:rsidR="005F4A7D" w:rsidRPr="00BB17B1"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sidRPr="00BB17B1">
        <w:rPr>
          <w:rFonts w:asciiTheme="minorHAnsi" w:eastAsiaTheme="minorHAnsi" w:hAnsiTheme="minorHAnsi" w:cstheme="minorHAnsi"/>
          <w:bCs/>
          <w:sz w:val="20"/>
          <w:szCs w:val="20"/>
          <w:lang w:eastAsia="en-US"/>
        </w:rPr>
        <w:lastRenderedPageBreak/>
        <w:t xml:space="preserve">1.2) </w:t>
      </w:r>
      <w:r w:rsidRPr="00BB17B1">
        <w:rPr>
          <w:b/>
          <w:bCs/>
          <w:sz w:val="20"/>
          <w:szCs w:val="20"/>
        </w:rPr>
        <w:t>potwierdzających spełnianie warunków udziału w postępowaniu dotyczących zdolności technicznej lub zawodowej (doświadczenie, kwalifikacje zawodowe kadry technicznej):</w:t>
      </w:r>
    </w:p>
    <w:p w:rsidR="005F4A7D" w:rsidRPr="00BB17B1" w:rsidRDefault="005F4A7D" w:rsidP="005F4A7D">
      <w:pPr>
        <w:numPr>
          <w:ilvl w:val="0"/>
          <w:numId w:val="12"/>
        </w:numPr>
        <w:jc w:val="both"/>
        <w:rPr>
          <w:rFonts w:ascii="Calibri" w:hAnsi="Calibri" w:cs="Calibri"/>
          <w:sz w:val="20"/>
          <w:szCs w:val="20"/>
        </w:rPr>
      </w:pPr>
      <w:r w:rsidRPr="00BB17B1">
        <w:rPr>
          <w:rFonts w:ascii="Calibri" w:hAnsi="Calibri" w:cs="Calibri"/>
          <w:b/>
          <w:bCs/>
          <w:sz w:val="20"/>
          <w:szCs w:val="20"/>
          <w:u w:val="single"/>
        </w:rPr>
        <w:t>wykazu robót budowlanych</w:t>
      </w:r>
      <w:r w:rsidRPr="00BB17B1">
        <w:rPr>
          <w:rFonts w:ascii="Calibri" w:hAnsi="Calibri" w:cs="Calibri"/>
          <w:sz w:val="20"/>
          <w:szCs w:val="20"/>
        </w:rPr>
        <w:t xml:space="preserve"> wykonanych nie wcześniej niż w okresie ostatnich </w:t>
      </w:r>
      <w:r w:rsidRPr="00BB17B1">
        <w:rPr>
          <w:rFonts w:ascii="Calibri" w:hAnsi="Calibri" w:cs="Calibri"/>
          <w:b/>
          <w:bCs/>
          <w:sz w:val="20"/>
          <w:szCs w:val="20"/>
        </w:rPr>
        <w:t>5 lat</w:t>
      </w:r>
      <w:r w:rsidRPr="00BB17B1">
        <w:rPr>
          <w:rFonts w:ascii="Calibri" w:hAnsi="Calibri" w:cs="Calibri"/>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009732A9" w:rsidRPr="00BB17B1">
        <w:rPr>
          <w:rFonts w:ascii="Calibri" w:hAnsi="Calibri" w:cs="Calibri"/>
          <w:sz w:val="20"/>
          <w:szCs w:val="20"/>
        </w:rPr>
        <w:t>wzór załącznik nr 4</w:t>
      </w:r>
      <w:r w:rsidRPr="00BB17B1">
        <w:rPr>
          <w:rFonts w:ascii="Calibri" w:hAnsi="Calibri" w:cs="Calibri"/>
          <w:sz w:val="20"/>
          <w:szCs w:val="20"/>
        </w:rPr>
        <w:t xml:space="preserve"> do SWZ;</w:t>
      </w:r>
    </w:p>
    <w:p w:rsidR="005F4A7D" w:rsidRPr="00BB17B1" w:rsidRDefault="005F4A7D" w:rsidP="005F4A7D">
      <w:pPr>
        <w:numPr>
          <w:ilvl w:val="0"/>
          <w:numId w:val="12"/>
        </w:numPr>
        <w:jc w:val="both"/>
        <w:rPr>
          <w:rFonts w:ascii="Calibri" w:hAnsi="Calibri" w:cs="Calibri"/>
          <w:sz w:val="20"/>
          <w:szCs w:val="20"/>
        </w:rPr>
      </w:pPr>
      <w:r w:rsidRPr="00BB17B1">
        <w:rPr>
          <w:rFonts w:ascii="Calibri" w:hAnsi="Calibri" w:cs="Calibri"/>
          <w:b/>
          <w:bCs/>
          <w:sz w:val="20"/>
          <w:szCs w:val="20"/>
          <w:u w:val="single"/>
        </w:rPr>
        <w:t>wykazu osób</w:t>
      </w:r>
      <w:r w:rsidRPr="00BB17B1">
        <w:rPr>
          <w:rFonts w:ascii="Calibri" w:hAnsi="Calibri" w:cs="Calibri"/>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9732A9" w:rsidRPr="00BB17B1">
        <w:rPr>
          <w:rFonts w:ascii="Calibri" w:hAnsi="Calibri" w:cs="Calibri"/>
          <w:sz w:val="20"/>
          <w:szCs w:val="20"/>
        </w:rPr>
        <w:t>wzór załącznik nr 5</w:t>
      </w:r>
      <w:r w:rsidRPr="00BB17B1">
        <w:rPr>
          <w:rFonts w:ascii="Calibri" w:hAnsi="Calibri" w:cs="Calibri"/>
          <w:sz w:val="20"/>
          <w:szCs w:val="20"/>
        </w:rPr>
        <w:t xml:space="preserve"> do SWZ;</w:t>
      </w:r>
    </w:p>
    <w:p w:rsidR="007F360D" w:rsidRDefault="007F360D" w:rsidP="005048D0">
      <w:pPr>
        <w:jc w:val="both"/>
        <w:rPr>
          <w:rFonts w:ascii="Calibri" w:hAnsi="Calibri" w:cs="Calibri"/>
          <w:b/>
          <w:color w:val="7030A0"/>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4"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rsidR="005F4A7D" w:rsidRDefault="005F4A7D" w:rsidP="005F4A7D">
      <w:pPr>
        <w:tabs>
          <w:tab w:val="left" w:pos="360"/>
          <w:tab w:val="left" w:pos="540"/>
        </w:tabs>
        <w:ind w:left="180"/>
        <w:jc w:val="both"/>
        <w:rPr>
          <w:rFonts w:asciiTheme="minorHAnsi" w:hAnsiTheme="minorHAnsi" w:cstheme="minorHAnsi"/>
          <w:b/>
          <w:sz w:val="20"/>
          <w:szCs w:val="20"/>
          <w:lang w:val="en-US"/>
        </w:rPr>
      </w:pPr>
    </w:p>
    <w:p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rPr>
      </w:pPr>
      <w:r w:rsidRPr="003A1CD0">
        <w:rPr>
          <w:rFonts w:asciiTheme="minorHAnsi" w:eastAsia="CIDFont" w:hAnsiTheme="minorHAnsi" w:cstheme="minorHAnsi"/>
          <w:color w:val="000000"/>
          <w:sz w:val="20"/>
          <w:szCs w:val="20"/>
          <w:lang w:eastAsia="zh-CN"/>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rPr>
        <w:t>„Formularza do komunikacji”</w:t>
      </w:r>
      <w:r w:rsidRPr="003A1CD0">
        <w:rPr>
          <w:rFonts w:asciiTheme="minorHAnsi" w:eastAsia="CIDFont" w:hAnsiTheme="minorHAnsi" w:cstheme="minorHAnsi"/>
          <w:color w:val="000000"/>
          <w:sz w:val="20"/>
          <w:szCs w:val="20"/>
          <w:lang w:eastAsia="zh-CN"/>
        </w:rPr>
        <w:t xml:space="preserve"> jako załączniki. </w:t>
      </w:r>
    </w:p>
    <w:p w:rsidR="005F4A7D" w:rsidRPr="003A1CD0" w:rsidRDefault="005F4A7D" w:rsidP="005F4A7D">
      <w:pPr>
        <w:jc w:val="both"/>
        <w:rPr>
          <w:rFonts w:asciiTheme="minorHAnsi" w:eastAsia="CIDFont" w:hAnsiTheme="minorHAnsi" w:cstheme="minorHAnsi"/>
          <w:color w:val="000000"/>
          <w:sz w:val="20"/>
          <w:szCs w:val="20"/>
          <w:lang w:eastAsia="zh-CN"/>
        </w:rPr>
      </w:pPr>
    </w:p>
    <w:p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rPr>
        <w:t xml:space="preserve">Zamawiający dopuszcza również możliwość składania dokumentów elektronicznych </w:t>
      </w:r>
      <w:r>
        <w:rPr>
          <w:rFonts w:asciiTheme="minorHAnsi" w:eastAsia="CIDFont" w:hAnsiTheme="minorHAnsi" w:cstheme="minorHAnsi"/>
          <w:color w:val="000000"/>
          <w:sz w:val="20"/>
          <w:szCs w:val="20"/>
          <w:lang w:eastAsia="zh-CN"/>
        </w:rPr>
        <w:t xml:space="preserve">(z wyłączeniem oferty) </w:t>
      </w:r>
      <w:r w:rsidRPr="003A1CD0">
        <w:rPr>
          <w:rFonts w:asciiTheme="minorHAnsi" w:eastAsia="CIDFont" w:hAnsiTheme="minorHAnsi" w:cstheme="minorHAnsi"/>
          <w:color w:val="000000"/>
          <w:sz w:val="20"/>
          <w:szCs w:val="20"/>
          <w:lang w:eastAsia="zh-CN"/>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5F4A7D" w:rsidRPr="003A1CD0" w:rsidRDefault="005F4A7D" w:rsidP="005F4A7D">
      <w:pPr>
        <w:tabs>
          <w:tab w:val="left" w:pos="360"/>
          <w:tab w:val="left" w:pos="540"/>
        </w:tabs>
        <w:jc w:val="both"/>
        <w:rPr>
          <w:rFonts w:asciiTheme="minorHAnsi" w:hAnsiTheme="minorHAnsi" w:cstheme="minorHAnsi"/>
          <w:b/>
          <w:sz w:val="20"/>
          <w:szCs w:val="20"/>
        </w:rPr>
      </w:pP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lastRenderedPageBreak/>
        <w:t>Osobami uprawnionymi do porozumiewania się z wykonawcami są:</w:t>
      </w:r>
    </w:p>
    <w:p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5F4A7D" w:rsidRPr="007F360D" w:rsidRDefault="00502AC0"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Tomasz Szeliga - tel. (52) 328 26 04,  606 832 106</w:t>
      </w:r>
    </w:p>
    <w:p w:rsidR="005F4A7D" w:rsidRDefault="005F4A7D" w:rsidP="005F4A7D">
      <w:pPr>
        <w:jc w:val="both"/>
        <w:rPr>
          <w:rFonts w:asciiTheme="minorHAnsi" w:hAnsiTheme="minorHAnsi" w:cstheme="minorHAnsi"/>
          <w:b/>
          <w:bCs/>
          <w:sz w:val="20"/>
          <w:szCs w:val="20"/>
        </w:rPr>
      </w:pPr>
    </w:p>
    <w:p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Zaleca sie aby zapytania w formie mailowej przesyłać na wskazany adres mailowy również w wersji edytowalnej (np. Word, Excel)</w:t>
      </w:r>
    </w:p>
    <w:p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7C18CC" w:rsidRDefault="007C18CC"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917C61">
        <w:rPr>
          <w:rStyle w:val="Teksttreci2"/>
          <w:rFonts w:ascii="Calibri" w:eastAsiaTheme="majorEastAsia" w:hAnsi="Calibri" w:cs="Calibri"/>
          <w:b/>
          <w:sz w:val="20"/>
          <w:szCs w:val="20"/>
        </w:rPr>
        <w:t>2</w:t>
      </w:r>
      <w:r w:rsidR="005048D0">
        <w:rPr>
          <w:rStyle w:val="Teksttreci2"/>
          <w:rFonts w:ascii="Calibri" w:eastAsiaTheme="majorEastAsia" w:hAnsi="Calibri" w:cs="Calibri"/>
          <w:b/>
          <w:sz w:val="20"/>
          <w:szCs w:val="20"/>
        </w:rPr>
        <w:t>6</w:t>
      </w:r>
      <w:r w:rsidR="007F360D" w:rsidRPr="00C65F25">
        <w:rPr>
          <w:rStyle w:val="Teksttreci2"/>
          <w:rFonts w:ascii="Calibri" w:eastAsiaTheme="majorEastAsia" w:hAnsi="Calibri" w:cs="Calibri"/>
          <w:b/>
          <w:sz w:val="20"/>
          <w:szCs w:val="20"/>
        </w:rPr>
        <w:t>.0</w:t>
      </w:r>
      <w:r w:rsidR="00A71F60">
        <w:rPr>
          <w:rStyle w:val="Teksttreci2"/>
          <w:rFonts w:ascii="Calibri" w:eastAsiaTheme="majorEastAsia" w:hAnsi="Calibri" w:cs="Calibri"/>
          <w:b/>
          <w:sz w:val="20"/>
          <w:szCs w:val="20"/>
        </w:rPr>
        <w:t>8</w:t>
      </w:r>
      <w:r w:rsidR="007F360D" w:rsidRPr="00C65F25">
        <w:rPr>
          <w:rStyle w:val="Teksttreci2"/>
          <w:rFonts w:ascii="Calibri" w:eastAsiaTheme="majorEastAsia" w:hAnsi="Calibri" w:cs="Calibri"/>
          <w:b/>
          <w:sz w:val="20"/>
          <w:szCs w:val="20"/>
        </w:rPr>
        <w:t>.2021 r.</w:t>
      </w:r>
    </w:p>
    <w:p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7C18CC" w:rsidRPr="001D78ED" w:rsidRDefault="005F4A7D" w:rsidP="007C18CC">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rsidR="007C18CC" w:rsidRPr="00BB17B1" w:rsidRDefault="005F4A7D" w:rsidP="00C65F25">
      <w:pPr>
        <w:shd w:val="clear" w:color="auto" w:fill="A6A6A6"/>
        <w:spacing w:line="276" w:lineRule="auto"/>
        <w:ind w:left="284" w:hanging="284"/>
        <w:jc w:val="center"/>
        <w:rPr>
          <w:rFonts w:ascii="Calibri" w:hAnsi="Calibri"/>
          <w:b/>
          <w:bCs/>
        </w:rPr>
      </w:pPr>
      <w:r w:rsidRPr="00BB17B1">
        <w:rPr>
          <w:rFonts w:ascii="Calibri" w:hAnsi="Calibri"/>
          <w:b/>
          <w:bCs/>
        </w:rPr>
        <w:t>Wadium.</w:t>
      </w:r>
    </w:p>
    <w:p w:rsidR="007C18CC" w:rsidRPr="00BB17B1" w:rsidRDefault="00182612" w:rsidP="00C65F25">
      <w:pPr>
        <w:pStyle w:val="Tekstpodstawowywcity2"/>
        <w:spacing w:after="0" w:line="276" w:lineRule="auto"/>
        <w:jc w:val="both"/>
        <w:rPr>
          <w:rFonts w:asciiTheme="minorHAnsi" w:hAnsiTheme="minorHAnsi" w:cstheme="minorHAnsi"/>
          <w:kern w:val="144"/>
          <w:sz w:val="20"/>
          <w:szCs w:val="20"/>
        </w:rPr>
      </w:pPr>
      <w:r w:rsidRPr="00BB17B1">
        <w:rPr>
          <w:rFonts w:asciiTheme="minorHAnsi" w:hAnsiTheme="minorHAnsi" w:cstheme="minorHAnsi"/>
          <w:kern w:val="144"/>
          <w:sz w:val="20"/>
          <w:szCs w:val="20"/>
        </w:rPr>
        <w:t>1.Zamawiający nie wymaga wniesienia wadium.</w:t>
      </w:r>
    </w:p>
    <w:p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 xml:space="preserve">Zamawiający nie wyraża zgody na złożenie oświadczeń, oferty oraz innych dokumentów jednym z języków powszechnie używanych w handlu międzynarodowym. </w:t>
      </w:r>
      <w:r>
        <w:rPr>
          <w:rFonts w:asciiTheme="minorHAnsi" w:eastAsiaTheme="minorHAnsi" w:hAnsiTheme="minorHAnsi" w:cstheme="minorHAnsi"/>
          <w:color w:val="000000"/>
          <w:sz w:val="20"/>
          <w:szCs w:val="20"/>
          <w:shd w:val="clear" w:color="auto" w:fill="FFFFFF"/>
          <w:lang w:eastAsia="en-US"/>
        </w:rPr>
        <w:lastRenderedPageBreak/>
        <w:t>Dokumenty sporządzone w języku obcym są składane wraz z tłumaczeniem na język polski.</w:t>
      </w:r>
    </w:p>
    <w:p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rPr>
          <w:t>https://miniportal.uzp.gov.pl/</w:t>
        </w:r>
      </w:hyperlink>
      <w:r w:rsidRPr="003A1CD0">
        <w:rPr>
          <w:rFonts w:asciiTheme="minorHAnsi" w:eastAsia="CIDFont" w:hAnsiTheme="minorHAnsi" w:cstheme="minorHAnsi"/>
          <w:color w:val="000000"/>
          <w:sz w:val="20"/>
          <w:szCs w:val="20"/>
          <w:lang w:eastAsia="zh-CN"/>
        </w:rPr>
        <w:t xml:space="preserve">  </w:t>
      </w: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rPr>
        <w:t xml:space="preserve">Po jej podaniu w formularzu, adres skrzynki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Zamawiającego automatycznie pojawi się w odpowiednim polu formularza. </w:t>
      </w:r>
    </w:p>
    <w:p w:rsidR="005F4A7D" w:rsidRPr="003A1CD0" w:rsidRDefault="005F4A7D" w:rsidP="005F4A7D">
      <w:pPr>
        <w:ind w:leftChars="98" w:left="235" w:firstLine="6"/>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odpowiada Wykonawca. </w:t>
      </w:r>
    </w:p>
    <w:p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rPr>
        <w:t>„załączniku 2 i 3 do SWZ”</w:t>
      </w:r>
      <w:r w:rsidRPr="003A1CD0">
        <w:rPr>
          <w:rFonts w:ascii="Calibri" w:eastAsia="CIDFont" w:hAnsi="Calibri" w:cs="Calibri"/>
          <w:color w:val="000000"/>
          <w:sz w:val="20"/>
          <w:szCs w:val="20"/>
          <w:lang w:eastAsia="zh-CN"/>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rPr>
        <w:t>.</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rPr>
        <w:t>PAdES</w:t>
      </w:r>
      <w:proofErr w:type="spellEnd"/>
      <w:r w:rsidRPr="003A1CD0">
        <w:rPr>
          <w:rFonts w:ascii="Calibri" w:eastAsia="SimSun" w:hAnsi="Calibri" w:cs="Calibri"/>
          <w:color w:val="000000"/>
          <w:sz w:val="20"/>
          <w:szCs w:val="20"/>
          <w:lang w:eastAsia="zh-CN"/>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rPr>
        <w:t>XAdES</w:t>
      </w:r>
      <w:proofErr w:type="spellEnd"/>
      <w:r w:rsidRPr="003A1CD0">
        <w:rPr>
          <w:rFonts w:ascii="Calibri" w:eastAsia="SimSun" w:hAnsi="Calibri" w:cs="Calibri"/>
          <w:color w:val="000000"/>
          <w:sz w:val="20"/>
          <w:szCs w:val="20"/>
          <w:lang w:eastAsia="zh-CN"/>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rPr>
        <w:t>XAdES</w:t>
      </w:r>
      <w:proofErr w:type="spellEnd"/>
      <w:r w:rsidRPr="003A1CD0">
        <w:rPr>
          <w:rFonts w:ascii="Calibri" w:eastAsia="SimSun" w:hAnsi="Calibri" w:cs="Calibri"/>
          <w:color w:val="000000"/>
          <w:sz w:val="20"/>
          <w:szCs w:val="20"/>
          <w:lang w:eastAsia="zh-CN"/>
        </w:rPr>
        <w:t xml:space="preserve"> w wariancie zewnętrznym, należy pamiętać aby przekazać zarówno podpisywane oświadczenie lub dokument oraz plik podpisu zewnętrznego. </w:t>
      </w:r>
    </w:p>
    <w:p w:rsidR="005F4A7D" w:rsidRPr="003A1CD0" w:rsidRDefault="005F4A7D" w:rsidP="005F4A7D">
      <w:pPr>
        <w:ind w:leftChars="99" w:left="238"/>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rPr>
          <w:t>https://www.gov.pl/web/gov/podpisz-dokument-elektronicznie-wykorzystajpodpis-zaufany</w:t>
        </w:r>
      </w:hyperlink>
      <w:r w:rsidRPr="003A1CD0">
        <w:rPr>
          <w:rFonts w:ascii="Calibri" w:eastAsia="SimSun" w:hAnsi="Calibri" w:cs="Calibri"/>
          <w:color w:val="0563C1"/>
          <w:sz w:val="20"/>
          <w:szCs w:val="20"/>
          <w:lang w:eastAsia="zh-CN"/>
        </w:rPr>
        <w:t xml:space="preserve"> </w:t>
      </w:r>
      <w:r w:rsidRPr="003A1CD0">
        <w:rPr>
          <w:rFonts w:ascii="Calibri" w:eastAsia="SimSun" w:hAnsi="Calibri" w:cs="Calibri"/>
          <w:color w:val="000000"/>
          <w:sz w:val="20"/>
          <w:szCs w:val="20"/>
          <w:lang w:eastAsia="zh-CN"/>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rPr>
          <w:t>https://www.gov.pl/web/gov/zaloz-profil-zaufany</w:t>
        </w:r>
      </w:hyperlink>
      <w:r w:rsidRPr="003A1CD0">
        <w:rPr>
          <w:rFonts w:ascii="Calibri" w:eastAsia="SimSun" w:hAnsi="Calibri" w:cs="Calibri"/>
          <w:color w:val="0563C1"/>
          <w:sz w:val="20"/>
          <w:szCs w:val="20"/>
          <w:lang w:eastAsia="zh-CN"/>
        </w:rPr>
        <w:t xml:space="preserve"> </w:t>
      </w:r>
    </w:p>
    <w:p w:rsidR="005F4A7D" w:rsidRPr="003A1CD0" w:rsidRDefault="005F4A7D" w:rsidP="005F4A7D">
      <w:pPr>
        <w:ind w:leftChars="99" w:left="238"/>
        <w:jc w:val="both"/>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563C1"/>
          <w:sz w:val="20"/>
          <w:szCs w:val="20"/>
          <w:lang w:eastAsia="zh-CN"/>
        </w:rPr>
      </w:pPr>
      <w:r w:rsidRPr="003A1CD0">
        <w:rPr>
          <w:rFonts w:ascii="Calibri" w:eastAsia="SimSun" w:hAnsi="Calibri" w:cs="Calibri"/>
          <w:color w:val="000000"/>
          <w:sz w:val="20"/>
          <w:szCs w:val="20"/>
          <w:lang w:eastAsia="zh-CN"/>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rPr>
          <w:t>https://www.gov.pl/web/e-dowod/podpis-osobisty</w:t>
        </w:r>
      </w:hyperlink>
      <w:r w:rsidRPr="003A1CD0">
        <w:rPr>
          <w:rFonts w:ascii="Calibri" w:eastAsia="SimSun" w:hAnsi="Calibri" w:cs="Calibri"/>
          <w:color w:val="0563C1"/>
          <w:sz w:val="20"/>
          <w:szCs w:val="20"/>
          <w:lang w:eastAsia="zh-CN"/>
        </w:rPr>
        <w:t xml:space="preserve"> </w:t>
      </w:r>
    </w:p>
    <w:p w:rsidR="005F4A7D" w:rsidRDefault="005F4A7D" w:rsidP="005F4A7D">
      <w:pPr>
        <w:ind w:leftChars="99" w:left="238"/>
        <w:jc w:val="both"/>
        <w:rPr>
          <w:rFonts w:ascii="Calibri" w:eastAsia="SimSun" w:hAnsi="Calibri" w:cs="Calibri"/>
          <w:color w:val="0563C1"/>
          <w:sz w:val="20"/>
          <w:szCs w:val="20"/>
          <w:lang w:eastAsia="zh-CN"/>
        </w:rPr>
      </w:pPr>
    </w:p>
    <w:p w:rsidR="005F4A7D" w:rsidRPr="00311BA8" w:rsidRDefault="005F4A7D" w:rsidP="001D78ED">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rPr>
        <w:t>miniPortalu</w:t>
      </w:r>
      <w:proofErr w:type="spellEnd"/>
      <w:r w:rsidRPr="00311BA8">
        <w:rPr>
          <w:rFonts w:ascii="Calibri" w:eastAsia="SimSun" w:hAnsi="Calibri" w:cs="Calibri"/>
          <w:color w:val="000000"/>
          <w:sz w:val="20"/>
          <w:szCs w:val="20"/>
          <w:lang w:eastAsia="zh-CN"/>
        </w:rPr>
        <w:t xml:space="preserve"> pod adresem: </w:t>
      </w:r>
      <w:hyperlink r:id="rId20" w:history="1">
        <w:r w:rsidR="001D78ED" w:rsidRPr="001D78ED">
          <w:rPr>
            <w:rStyle w:val="Hipercze"/>
            <w:rFonts w:asciiTheme="minorHAnsi" w:hAnsiTheme="minorHAnsi" w:cstheme="minorHAnsi"/>
            <w:sz w:val="20"/>
            <w:szCs w:val="20"/>
          </w:rPr>
          <w:t>https://miniportal.uzp.gov.pl/Postepowania/1301a885-2451-4ff3-a06c-a492101bfcc5</w:t>
        </w:r>
      </w:hyperlink>
      <w:r w:rsidR="001D78ED" w:rsidRPr="001D78ED">
        <w:rPr>
          <w:rFonts w:asciiTheme="minorHAnsi" w:hAnsiTheme="minorHAnsi" w:cstheme="minorHAnsi"/>
          <w:sz w:val="20"/>
          <w:szCs w:val="20"/>
        </w:rPr>
        <w:t xml:space="preserve"> </w:t>
      </w:r>
      <w:r w:rsidR="00414029" w:rsidRPr="001D78ED">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rPr>
        <w:t xml:space="preserve"> </w:t>
      </w:r>
      <w:r w:rsidRPr="00311BA8">
        <w:rPr>
          <w:rFonts w:ascii="Calibri" w:eastAsia="SimSun" w:hAnsi="Calibri" w:cs="Calibri"/>
          <w:color w:val="000000"/>
          <w:sz w:val="20"/>
          <w:szCs w:val="20"/>
          <w:lang w:eastAsia="zh-CN"/>
        </w:rPr>
        <w:t xml:space="preserve"> za pomocą aktywnego pola „Wybierz pliki do zaszyfrowania”. </w:t>
      </w:r>
    </w:p>
    <w:p w:rsidR="005F4A7D" w:rsidRPr="003A1CD0" w:rsidRDefault="005F4A7D" w:rsidP="005F4A7D">
      <w:pPr>
        <w:jc w:val="both"/>
        <w:rPr>
          <w:rFonts w:ascii="Calibri" w:eastAsia="SimSun" w:hAnsi="Calibri" w:cs="Calibri"/>
          <w:color w:val="000000"/>
          <w:sz w:val="20"/>
          <w:szCs w:val="20"/>
          <w:lang w:eastAsia="zh-CN"/>
        </w:rPr>
      </w:pPr>
    </w:p>
    <w:p w:rsidR="005F4A7D" w:rsidRPr="008E6314"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rPr>
        <w:t xml:space="preserve">„tajemnica przedsiębiorstwa”). </w:t>
      </w:r>
    </w:p>
    <w:p w:rsidR="005F4A7D" w:rsidRPr="008E6314" w:rsidRDefault="005F4A7D" w:rsidP="005F4A7D">
      <w:pPr>
        <w:ind w:leftChars="99" w:left="238"/>
        <w:jc w:val="both"/>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rPr>
        <w:t>miniPortalu</w:t>
      </w:r>
      <w:proofErr w:type="spellEnd"/>
      <w:r w:rsidRPr="003A1CD0">
        <w:rPr>
          <w:rFonts w:ascii="Calibri" w:eastAsia="SimSun" w:hAnsi="Calibri" w:cs="Calibri"/>
          <w:color w:val="000000"/>
          <w:sz w:val="20"/>
          <w:szCs w:val="20"/>
          <w:lang w:eastAsia="zh-CN"/>
        </w:rPr>
        <w:t xml:space="preserve"> pod adresem: </w:t>
      </w:r>
    </w:p>
    <w:p w:rsidR="005F4A7D" w:rsidRPr="003A1CD0" w:rsidRDefault="001D78ED" w:rsidP="005F4A7D">
      <w:pPr>
        <w:ind w:leftChars="99" w:left="238"/>
        <w:jc w:val="both"/>
        <w:rPr>
          <w:rFonts w:ascii="Calibri" w:eastAsia="SimSun" w:hAnsi="Calibri" w:cs="Calibri"/>
          <w:color w:val="000000"/>
          <w:sz w:val="20"/>
          <w:szCs w:val="20"/>
          <w:lang w:eastAsia="zh-CN"/>
        </w:rPr>
      </w:pPr>
      <w:hyperlink r:id="rId21" w:history="1">
        <w:r w:rsidRPr="001D78ED">
          <w:rPr>
            <w:rStyle w:val="Hipercze"/>
            <w:rFonts w:asciiTheme="minorHAnsi" w:hAnsiTheme="minorHAnsi" w:cstheme="minorHAnsi"/>
            <w:sz w:val="20"/>
            <w:szCs w:val="20"/>
          </w:rPr>
          <w:t>https://miniportal.uzp.gov.pl/Postepowania/1301a885-2451-4ff3-a06c-a492101bfcc5</w:t>
        </w:r>
      </w:hyperlink>
      <w:r w:rsidRPr="001D78ED">
        <w:rPr>
          <w:rFonts w:asciiTheme="minorHAnsi" w:hAnsiTheme="minorHAnsi" w:cstheme="minorHAnsi"/>
          <w:sz w:val="20"/>
          <w:szCs w:val="20"/>
        </w:rPr>
        <w:t xml:space="preserve">  </w:t>
      </w:r>
      <w:bookmarkStart w:id="0" w:name="_GoBack"/>
      <w:bookmarkEnd w:id="0"/>
      <w:r w:rsidR="00311BA8">
        <w:rPr>
          <w:rFonts w:ascii="Calibri" w:eastAsia="SimSun" w:hAnsi="Calibri" w:cs="Calibri"/>
          <w:color w:val="000000"/>
          <w:sz w:val="20"/>
          <w:szCs w:val="20"/>
          <w:lang w:eastAsia="zh-CN"/>
        </w:rPr>
        <w:t xml:space="preserve"> </w:t>
      </w:r>
      <w:r w:rsidR="005F4A7D" w:rsidRPr="00311BA8">
        <w:rPr>
          <w:rFonts w:ascii="Calibri" w:eastAsia="SimSun" w:hAnsi="Calibri" w:cs="Calibri"/>
          <w:color w:val="000000"/>
          <w:sz w:val="20"/>
          <w:szCs w:val="20"/>
          <w:lang w:eastAsia="zh-CN"/>
        </w:rPr>
        <w:t xml:space="preserve"> </w:t>
      </w:r>
      <w:r w:rsidR="005F4A7D" w:rsidRPr="003A1CD0">
        <w:rPr>
          <w:rFonts w:ascii="Calibri" w:eastAsia="SimSun" w:hAnsi="Calibri" w:cs="Calibri"/>
          <w:color w:val="000000"/>
          <w:sz w:val="20"/>
          <w:szCs w:val="20"/>
          <w:lang w:eastAsia="zh-CN"/>
        </w:rPr>
        <w:t xml:space="preserve"> za pomocą aktywnego pola „Wybierz pliki do zaszyfrowania”. </w:t>
      </w: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w:t>
      </w:r>
      <w:r>
        <w:rPr>
          <w:rStyle w:val="Teksttreci2"/>
          <w:rFonts w:ascii="Calibri" w:hAnsi="Calibri" w:cs="Calibri"/>
          <w:color w:val="000000"/>
          <w:sz w:val="20"/>
          <w:szCs w:val="20"/>
        </w:rPr>
        <w:lastRenderedPageBreak/>
        <w:t xml:space="preserve">Oferta złożona po terminie składania ofert zostanie odrzucona. </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Wykonawca może przed upływem terminu do składania ofert wycofać ofertę za pośrednictwem „</w:t>
      </w:r>
      <w:r w:rsidRPr="003A1CD0">
        <w:rPr>
          <w:rFonts w:ascii="Calibri" w:eastAsia="CIDFont" w:hAnsi="Calibri" w:cs="Calibri"/>
          <w:b/>
          <w:bCs/>
          <w:i/>
          <w:iCs/>
          <w:color w:val="000000"/>
          <w:sz w:val="20"/>
          <w:szCs w:val="20"/>
          <w:lang w:eastAsia="zh-CN"/>
        </w:rPr>
        <w:t xml:space="preserve">Formularza do złożenia, zmiany, wycofania oferty lub wniosku” </w:t>
      </w:r>
      <w:r w:rsidRPr="003A1CD0">
        <w:rPr>
          <w:rFonts w:ascii="Calibri" w:eastAsia="CIDFont" w:hAnsi="Calibri" w:cs="Calibri"/>
          <w:color w:val="000000"/>
          <w:sz w:val="20"/>
          <w:szCs w:val="20"/>
          <w:lang w:eastAsia="zh-CN"/>
        </w:rPr>
        <w:t xml:space="preserve">dostępnego na </w:t>
      </w:r>
      <w:proofErr w:type="spellStart"/>
      <w:r w:rsidRPr="003A1CD0">
        <w:rPr>
          <w:rFonts w:ascii="Calibri" w:eastAsia="CIDFont" w:hAnsi="Calibri" w:cs="Calibri"/>
          <w:color w:val="000000"/>
          <w:sz w:val="20"/>
          <w:szCs w:val="20"/>
          <w:lang w:eastAsia="zh-CN"/>
        </w:rPr>
        <w:t>ePUAP</w:t>
      </w:r>
      <w:proofErr w:type="spellEnd"/>
      <w:r w:rsidRPr="003A1CD0">
        <w:rPr>
          <w:rFonts w:ascii="Calibri" w:eastAsia="CIDFont" w:hAnsi="Calibri" w:cs="Calibri"/>
          <w:color w:val="000000"/>
          <w:sz w:val="20"/>
          <w:szCs w:val="20"/>
          <w:lang w:eastAsia="zh-CN"/>
        </w:rPr>
        <w:t xml:space="preserve"> i udostępnionego również na </w:t>
      </w:r>
      <w:proofErr w:type="spellStart"/>
      <w:r w:rsidRPr="003A1CD0">
        <w:rPr>
          <w:rFonts w:ascii="Calibri" w:eastAsia="CIDFont" w:hAnsi="Calibri" w:cs="Calibri"/>
          <w:color w:val="000000"/>
          <w:sz w:val="20"/>
          <w:szCs w:val="20"/>
          <w:lang w:eastAsia="zh-CN"/>
        </w:rPr>
        <w:t>miniPortalu</w:t>
      </w:r>
      <w:proofErr w:type="spellEnd"/>
      <w:r w:rsidRPr="003A1CD0">
        <w:rPr>
          <w:rFonts w:ascii="Calibri" w:eastAsia="CIDFont" w:hAnsi="Calibri" w:cs="Calibri"/>
          <w:color w:val="000000"/>
          <w:sz w:val="20"/>
          <w:szCs w:val="20"/>
          <w:lang w:eastAsia="zh-CN"/>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rPr>
        <w:t>miniPortalu</w:t>
      </w:r>
      <w:proofErr w:type="spellEnd"/>
      <w:r w:rsidRPr="003A1CD0">
        <w:rPr>
          <w:rFonts w:ascii="Calibri" w:eastAsia="CIDFont" w:hAnsi="Calibri" w:cs="Calibri"/>
          <w:color w:val="000000"/>
          <w:sz w:val="20"/>
          <w:szCs w:val="20"/>
          <w:lang w:eastAsia="zh-CN"/>
        </w:rPr>
        <w:t xml:space="preserve"> </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Wykonawca po upływie terminu do składania ofert nie może skutecznie dokonać zmiany ani wycofać złożonej oferty.</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F4A7D" w:rsidRDefault="005F4A7D" w:rsidP="005F4A7D">
      <w:pPr>
        <w:spacing w:line="276" w:lineRule="auto"/>
        <w:jc w:val="both"/>
        <w:rPr>
          <w:iC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917C61">
        <w:rPr>
          <w:rFonts w:ascii="Calibri" w:eastAsiaTheme="minorHAnsi" w:hAnsi="Calibri" w:cs="Calibri"/>
          <w:b/>
          <w:sz w:val="20"/>
          <w:szCs w:val="20"/>
          <w:lang w:eastAsia="en-US"/>
        </w:rPr>
        <w:t>2</w:t>
      </w:r>
      <w:r w:rsidR="005048D0">
        <w:rPr>
          <w:rFonts w:ascii="Calibri" w:eastAsiaTheme="minorHAnsi" w:hAnsi="Calibri" w:cs="Calibri"/>
          <w:b/>
          <w:sz w:val="20"/>
          <w:szCs w:val="20"/>
          <w:lang w:eastAsia="en-US"/>
        </w:rPr>
        <w:t>8</w:t>
      </w:r>
      <w:r w:rsidR="007F360D" w:rsidRPr="007E6E0F">
        <w:rPr>
          <w:rFonts w:ascii="Calibri" w:eastAsiaTheme="minorHAnsi" w:hAnsi="Calibri" w:cs="Calibri"/>
          <w:b/>
          <w:sz w:val="20"/>
          <w:szCs w:val="20"/>
          <w:lang w:eastAsia="en-US"/>
        </w:rPr>
        <w:t>.0</w:t>
      </w:r>
      <w:r w:rsidR="007E6E0F" w:rsidRPr="007E6E0F">
        <w:rPr>
          <w:rFonts w:ascii="Calibri" w:eastAsiaTheme="minorHAnsi" w:hAnsi="Calibri" w:cs="Calibri"/>
          <w:b/>
          <w:sz w:val="20"/>
          <w:szCs w:val="20"/>
          <w:lang w:eastAsia="en-US"/>
        </w:rPr>
        <w:t>7</w:t>
      </w:r>
      <w:r w:rsidR="007F360D" w:rsidRPr="007E6E0F">
        <w:rPr>
          <w:rFonts w:ascii="Calibri" w:eastAsiaTheme="minorHAnsi" w:hAnsi="Calibri" w:cs="Calibri"/>
          <w:b/>
          <w:sz w:val="20"/>
          <w:szCs w:val="20"/>
          <w:lang w:eastAsia="en-US"/>
        </w:rPr>
        <w:t>.2021</w:t>
      </w:r>
      <w:r w:rsidRPr="007E6E0F">
        <w:rPr>
          <w:rFonts w:ascii="Calibri" w:hAnsi="Calibri" w:cs="Calibri"/>
          <w:b/>
          <w:sz w:val="20"/>
          <w:szCs w:val="20"/>
        </w:rPr>
        <w:t xml:space="preserve"> r. do godz. </w:t>
      </w:r>
      <w:r w:rsidR="007F360D" w:rsidRPr="007E6E0F">
        <w:rPr>
          <w:rFonts w:ascii="Calibri" w:hAnsi="Calibri" w:cs="Calibri"/>
          <w:b/>
          <w:sz w:val="20"/>
          <w:szCs w:val="20"/>
        </w:rPr>
        <w:t>0</w:t>
      </w:r>
      <w:r w:rsidR="00FC1DEE">
        <w:rPr>
          <w:rFonts w:ascii="Calibri" w:hAnsi="Calibri" w:cs="Calibri"/>
          <w:b/>
          <w:sz w:val="20"/>
          <w:szCs w:val="20"/>
        </w:rPr>
        <w:t>9</w:t>
      </w:r>
      <w:r w:rsidR="007F360D" w:rsidRPr="007E6E0F">
        <w:rPr>
          <w:rFonts w:ascii="Calibri" w:hAnsi="Calibri" w:cs="Calibri"/>
          <w:b/>
          <w:sz w:val="20"/>
          <w:szCs w:val="20"/>
        </w:rPr>
        <w:t>:00</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917C61">
        <w:rPr>
          <w:rFonts w:ascii="Calibri" w:eastAsiaTheme="minorHAnsi" w:hAnsi="Calibri" w:cs="Calibri"/>
          <w:b/>
          <w:sz w:val="20"/>
          <w:szCs w:val="20"/>
          <w:lang w:eastAsia="en-US"/>
        </w:rPr>
        <w:t>2</w:t>
      </w:r>
      <w:r w:rsidR="005048D0">
        <w:rPr>
          <w:rFonts w:ascii="Calibri" w:eastAsiaTheme="minorHAnsi" w:hAnsi="Calibri" w:cs="Calibri"/>
          <w:b/>
          <w:sz w:val="20"/>
          <w:szCs w:val="20"/>
          <w:lang w:eastAsia="en-US"/>
        </w:rPr>
        <w:t>8</w:t>
      </w:r>
      <w:r w:rsidR="007F360D" w:rsidRPr="007E6E0F">
        <w:rPr>
          <w:rFonts w:ascii="Calibri" w:eastAsiaTheme="minorHAnsi" w:hAnsi="Calibri" w:cs="Calibri"/>
          <w:b/>
          <w:sz w:val="20"/>
          <w:szCs w:val="20"/>
          <w:lang w:eastAsia="en-US"/>
        </w:rPr>
        <w:t>.0</w:t>
      </w:r>
      <w:r w:rsidR="007E6E0F" w:rsidRPr="007E6E0F">
        <w:rPr>
          <w:rFonts w:ascii="Calibri" w:eastAsiaTheme="minorHAnsi" w:hAnsi="Calibri" w:cs="Calibri"/>
          <w:b/>
          <w:sz w:val="20"/>
          <w:szCs w:val="20"/>
          <w:lang w:eastAsia="en-US"/>
        </w:rPr>
        <w:t>7</w:t>
      </w:r>
      <w:r w:rsidR="007F360D" w:rsidRPr="007E6E0F">
        <w:rPr>
          <w:rFonts w:ascii="Calibri" w:eastAsiaTheme="minorHAnsi" w:hAnsi="Calibri" w:cs="Calibri"/>
          <w:b/>
          <w:sz w:val="20"/>
          <w:szCs w:val="20"/>
          <w:lang w:eastAsia="en-US"/>
        </w:rPr>
        <w:t>.2021</w:t>
      </w:r>
      <w:r w:rsidRPr="007E6E0F">
        <w:rPr>
          <w:rFonts w:ascii="Calibri" w:eastAsiaTheme="minorHAnsi" w:hAnsi="Calibri" w:cs="Calibri"/>
          <w:b/>
          <w:sz w:val="20"/>
          <w:szCs w:val="20"/>
          <w:lang w:eastAsia="en-US"/>
        </w:rPr>
        <w:t xml:space="preserve"> r. o godz.</w:t>
      </w:r>
      <w:r w:rsidR="007F360D" w:rsidRPr="007E6E0F">
        <w:rPr>
          <w:rFonts w:ascii="Calibri" w:eastAsiaTheme="minorHAnsi" w:hAnsi="Calibri" w:cs="Calibri"/>
          <w:b/>
          <w:sz w:val="20"/>
          <w:szCs w:val="20"/>
          <w:lang w:eastAsia="en-US"/>
        </w:rPr>
        <w:t xml:space="preserve"> 1</w:t>
      </w:r>
      <w:r w:rsidR="00FC1DEE">
        <w:rPr>
          <w:rFonts w:ascii="Calibri" w:eastAsiaTheme="minorHAnsi" w:hAnsi="Calibri" w:cs="Calibri"/>
          <w:b/>
          <w:sz w:val="20"/>
          <w:szCs w:val="20"/>
          <w:lang w:eastAsia="en-US"/>
        </w:rPr>
        <w:t>0</w:t>
      </w:r>
      <w:r w:rsidR="007F360D" w:rsidRPr="007E6E0F">
        <w:rPr>
          <w:rFonts w:ascii="Calibri" w:eastAsiaTheme="minorHAnsi" w:hAnsi="Calibri" w:cs="Calibri"/>
          <w:b/>
          <w:sz w:val="20"/>
          <w:szCs w:val="20"/>
          <w:lang w:eastAsia="en-US"/>
        </w:rPr>
        <w:t>:</w:t>
      </w:r>
      <w:r w:rsidR="00FC1DEE">
        <w:rPr>
          <w:rFonts w:ascii="Calibri" w:eastAsiaTheme="minorHAnsi" w:hAnsi="Calibri" w:cs="Calibri"/>
          <w:b/>
          <w:sz w:val="20"/>
          <w:szCs w:val="20"/>
          <w:lang w:eastAsia="en-US"/>
        </w:rPr>
        <w:t>0</w:t>
      </w:r>
      <w:r w:rsidR="007F360D" w:rsidRPr="007E6E0F">
        <w:rPr>
          <w:rFonts w:ascii="Calibri" w:eastAsiaTheme="minorHAnsi" w:hAnsi="Calibri" w:cs="Calibri"/>
          <w:b/>
          <w:sz w:val="20"/>
          <w:szCs w:val="20"/>
          <w:lang w:eastAsia="en-US"/>
        </w:rPr>
        <w:t>0</w:t>
      </w:r>
      <w:r w:rsidRPr="007E6E0F">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lastRenderedPageBreak/>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5F4A7D" w:rsidRDefault="009F53A8" w:rsidP="005F4A7D">
      <w:pPr>
        <w:ind w:firstLineChars="300" w:firstLine="600"/>
        <w:jc w:val="both"/>
        <w:rPr>
          <w:rFonts w:ascii="Calibri" w:hAnsi="Calibri" w:cs="Calibri"/>
          <w:color w:val="000000"/>
          <w:sz w:val="20"/>
          <w:szCs w:val="20"/>
        </w:rPr>
      </w:pPr>
      <w:r>
        <w:rPr>
          <w:rFonts w:ascii="Calibri" w:hAnsi="Calibri" w:cs="Calibri"/>
          <w:color w:val="000000"/>
          <w:sz w:val="20"/>
          <w:szCs w:val="20"/>
        </w:rPr>
        <w:t xml:space="preserve">  </w:t>
      </w:r>
      <w:r w:rsidR="00CC39D6">
        <w:rPr>
          <w:rFonts w:ascii="Calibri" w:hAnsi="Calibri" w:cs="Calibri"/>
          <w:color w:val="000000"/>
          <w:sz w:val="20"/>
          <w:szCs w:val="20"/>
        </w:rPr>
        <w:t xml:space="preserve"> </w:t>
      </w:r>
      <w:r w:rsidR="005F4A7D">
        <w:rPr>
          <w:rFonts w:ascii="Calibri" w:hAnsi="Calibri" w:cs="Calibri"/>
          <w:color w:val="000000"/>
          <w:sz w:val="20"/>
          <w:szCs w:val="20"/>
        </w:rPr>
        <w:t>b) cenach lub kosztach zawartych w ofertach.</w:t>
      </w:r>
    </w:p>
    <w:p w:rsidR="007F360D" w:rsidRDefault="007F360D" w:rsidP="009F53A8">
      <w:pPr>
        <w:jc w:val="both"/>
        <w:rPr>
          <w:rFonts w:ascii="Calibri" w:hAnsi="Calibri" w:cs="Calibri"/>
          <w:color w:val="000000"/>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rsidR="005F4A7D" w:rsidRPr="007E6E0F" w:rsidRDefault="005F4A7D" w:rsidP="005F4A7D">
      <w:pPr>
        <w:numPr>
          <w:ilvl w:val="0"/>
          <w:numId w:val="21"/>
        </w:numPr>
        <w:ind w:left="357" w:hanging="357"/>
        <w:jc w:val="both"/>
        <w:rPr>
          <w:rFonts w:ascii="Calibri" w:hAnsi="Calibri"/>
          <w:sz w:val="20"/>
          <w:szCs w:val="20"/>
        </w:rPr>
      </w:pPr>
      <w:r w:rsidRPr="007E6E0F">
        <w:rPr>
          <w:rFonts w:ascii="Calibri" w:hAnsi="Calibri"/>
          <w:sz w:val="20"/>
          <w:szCs w:val="20"/>
        </w:rPr>
        <w:t>Sposób obliczenia ceny określa przedmiar robót stanowiący załącznik SWZ.</w:t>
      </w:r>
    </w:p>
    <w:p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5F4A7D" w:rsidRDefault="005F4A7D" w:rsidP="005F4A7D">
      <w:pPr>
        <w:numPr>
          <w:ilvl w:val="0"/>
          <w:numId w:val="21"/>
        </w:numPr>
        <w:ind w:left="357" w:hanging="357"/>
        <w:jc w:val="both"/>
        <w:rPr>
          <w:rFonts w:ascii="Calibri" w:hAnsi="Calibri"/>
          <w:sz w:val="20"/>
          <w:szCs w:val="20"/>
        </w:rPr>
      </w:pPr>
      <w:r w:rsidRPr="00CC39D6">
        <w:rPr>
          <w:rFonts w:ascii="Calibri" w:hAnsi="Calibri"/>
          <w:b/>
          <w:sz w:val="20"/>
          <w:szCs w:val="20"/>
        </w:rPr>
        <w:t xml:space="preserve">Wszystkie prace należy wycenić i wykonać zgodnie </w:t>
      </w:r>
      <w:r w:rsidR="004B46F5" w:rsidRPr="00CC39D6">
        <w:rPr>
          <w:rFonts w:ascii="Calibri" w:hAnsi="Calibri"/>
          <w:b/>
          <w:sz w:val="20"/>
          <w:szCs w:val="20"/>
        </w:rPr>
        <w:t>przedmiarem i SST</w:t>
      </w:r>
      <w:r w:rsidRPr="00CC39D6">
        <w:rPr>
          <w:rFonts w:ascii="Calibri" w:hAnsi="Calibri"/>
          <w:b/>
          <w:sz w:val="20"/>
          <w:szCs w:val="20"/>
        </w:rPr>
        <w:t>. Załączony przez Zamawiającego przedmiar ma zaś jedynie pomóc w wycenie prac Wykonawcy i nie jest obowiązkowy z uwagi na przyjętą w umowie formę rozliczenia ryczałtowego.</w:t>
      </w:r>
      <w:r w:rsidRPr="00CC39D6">
        <w:rPr>
          <w:rFonts w:ascii="Calibri" w:hAnsi="Calibri"/>
          <w:sz w:val="20"/>
          <w:szCs w:val="20"/>
        </w:rPr>
        <w:t xml:space="preserve"> </w:t>
      </w:r>
      <w:r>
        <w:rPr>
          <w:rFonts w:ascii="Calibri" w:hAnsi="Calibri"/>
          <w:sz w:val="20"/>
          <w:szCs w:val="20"/>
        </w:rPr>
        <w:t xml:space="preserve">(Zgodnie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rsidR="005F4A7D" w:rsidRDefault="005F4A7D" w:rsidP="005F4A7D">
      <w:pPr>
        <w:suppressAutoHyphens/>
        <w:jc w:val="both"/>
        <w:rPr>
          <w:rFonts w:ascii="Calibri" w:hAnsi="Calibri" w:cs="Tahoma"/>
          <w:bCs/>
          <w:sz w:val="20"/>
          <w:szCs w:val="20"/>
          <w:u w:val="single"/>
          <w:lang w:eastAsia="ar-SA"/>
        </w:rPr>
      </w:pPr>
    </w:p>
    <w:p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rsidR="005F4A7D" w:rsidRPr="00BB17B1" w:rsidRDefault="005F4A7D">
            <w:pPr>
              <w:spacing w:before="120" w:line="276" w:lineRule="auto"/>
              <w:jc w:val="both"/>
              <w:rPr>
                <w:rFonts w:asciiTheme="minorHAnsi" w:hAnsiTheme="minorHAnsi" w:cstheme="minorHAnsi"/>
                <w:b/>
                <w:sz w:val="20"/>
                <w:szCs w:val="20"/>
                <w:lang w:eastAsia="en-US"/>
              </w:rPr>
            </w:pPr>
            <w:r w:rsidRPr="00BB17B1">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rsidR="005F4A7D" w:rsidRPr="00BB17B1" w:rsidRDefault="005F4A7D">
            <w:pPr>
              <w:spacing w:before="120" w:line="276" w:lineRule="auto"/>
              <w:jc w:val="center"/>
              <w:rPr>
                <w:rFonts w:asciiTheme="minorHAnsi" w:hAnsiTheme="minorHAnsi" w:cstheme="minorHAnsi"/>
                <w:b/>
                <w:sz w:val="20"/>
                <w:szCs w:val="20"/>
                <w:lang w:eastAsia="en-US"/>
              </w:rPr>
            </w:pPr>
            <w:r w:rsidRPr="00BB17B1">
              <w:rPr>
                <w:rFonts w:asciiTheme="minorHAnsi" w:hAnsiTheme="minorHAnsi" w:cstheme="minorHAnsi"/>
                <w:b/>
                <w:sz w:val="20"/>
                <w:szCs w:val="20"/>
                <w:lang w:eastAsia="en-US"/>
              </w:rPr>
              <w:t>60%</w:t>
            </w:r>
          </w:p>
        </w:tc>
      </w:tr>
      <w:tr w:rsidR="005F4A7D"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rsidR="005F4A7D" w:rsidRPr="00BB17B1" w:rsidRDefault="005F4A7D">
            <w:pPr>
              <w:spacing w:before="120" w:line="276" w:lineRule="auto"/>
              <w:jc w:val="both"/>
              <w:rPr>
                <w:rFonts w:asciiTheme="minorHAnsi" w:hAnsiTheme="minorHAnsi" w:cstheme="minorHAnsi"/>
                <w:b/>
                <w:sz w:val="20"/>
                <w:szCs w:val="20"/>
                <w:lang w:eastAsia="en-US"/>
              </w:rPr>
            </w:pPr>
            <w:r w:rsidRPr="00BB17B1">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rsidR="005F4A7D" w:rsidRPr="00BB17B1" w:rsidRDefault="005F4A7D">
            <w:pPr>
              <w:spacing w:before="120" w:line="276" w:lineRule="auto"/>
              <w:jc w:val="center"/>
              <w:rPr>
                <w:rFonts w:asciiTheme="minorHAnsi" w:hAnsiTheme="minorHAnsi" w:cstheme="minorHAnsi"/>
                <w:b/>
                <w:sz w:val="20"/>
                <w:szCs w:val="20"/>
                <w:lang w:eastAsia="en-US"/>
              </w:rPr>
            </w:pPr>
            <w:r w:rsidRPr="00BB17B1">
              <w:rPr>
                <w:rFonts w:asciiTheme="minorHAnsi" w:hAnsiTheme="minorHAnsi" w:cstheme="minorHAnsi"/>
                <w:b/>
                <w:sz w:val="20"/>
                <w:szCs w:val="20"/>
                <w:lang w:eastAsia="en-US"/>
              </w:rPr>
              <w:t>40%</w:t>
            </w:r>
          </w:p>
        </w:tc>
      </w:tr>
    </w:tbl>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lastRenderedPageBreak/>
        <w:t>znaczenie kryterium – 60% (60 pkt)</w:t>
      </w: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rsidTr="005F4A7D">
        <w:trPr>
          <w:cantSplit/>
          <w:trHeight w:val="616"/>
        </w:trPr>
        <w:tc>
          <w:tcPr>
            <w:tcW w:w="3960" w:type="dxa"/>
            <w:tcBorders>
              <w:top w:val="single" w:sz="4" w:space="0" w:color="000000"/>
              <w:left w:val="single" w:sz="4" w:space="0" w:color="000000"/>
              <w:bottom w:val="single" w:sz="4" w:space="0" w:color="000000"/>
              <w:right w:val="nil"/>
            </w:tcBorders>
            <w:hideMark/>
          </w:tcPr>
          <w:p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rsidR="005F4A7D" w:rsidRDefault="005F4A7D" w:rsidP="005F4A7D">
      <w:pPr>
        <w:rPr>
          <w:rFonts w:asciiTheme="minorHAnsi" w:hAnsiTheme="minorHAnsi" w:cstheme="minorHAnsi"/>
          <w:b/>
          <w:sz w:val="20"/>
          <w:szCs w:val="20"/>
        </w:rPr>
      </w:pPr>
    </w:p>
    <w:p w:rsidR="005F4A7D" w:rsidRDefault="005F4A7D" w:rsidP="005F4A7D">
      <w:pPr>
        <w:rPr>
          <w:rFonts w:asciiTheme="minorHAnsi" w:hAnsiTheme="minorHAnsi" w:cstheme="minorHAnsi"/>
          <w:b/>
          <w:sz w:val="20"/>
          <w:szCs w:val="20"/>
        </w:rPr>
      </w:pPr>
    </w:p>
    <w:p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rsidR="005F4A7D" w:rsidRDefault="005F4A7D" w:rsidP="005F4A7D">
      <w:pPr>
        <w:rPr>
          <w:rFonts w:asciiTheme="minorHAnsi" w:hAnsiTheme="minorHAnsi" w:cstheme="minorHAnsi"/>
          <w:sz w:val="20"/>
          <w:szCs w:val="20"/>
        </w:rPr>
      </w:pPr>
    </w:p>
    <w:p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trPr>
                <w:trHeight w:val="368"/>
              </w:trPr>
              <w:tc>
                <w:tcPr>
                  <w:tcW w:w="0" w:type="auto"/>
                  <w:tcBorders>
                    <w:top w:val="nil"/>
                    <w:left w:val="nil"/>
                    <w:bottom w:val="nil"/>
                    <w:right w:val="nil"/>
                  </w:tcBorders>
                  <w:hideMark/>
                </w:tcPr>
                <w:p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rPr>
          <w:rFonts w:asciiTheme="minorHAnsi" w:hAnsiTheme="minorHAnsi" w:cstheme="minorHAnsi"/>
          <w:sz w:val="20"/>
          <w:szCs w:val="20"/>
        </w:rPr>
      </w:pPr>
    </w:p>
    <w:p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2) Osoby reprezentujące Wykonawcę przy podpisywaniu umowy powinny posiadać ze sobą dokumenty potwierdzające ich umocowanie do podpisania umowy, o ile umocowanie to nie będzie wynikać z dokumentów załączonych do oferty.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rPr>
      </w:pPr>
      <w:r>
        <w:rPr>
          <w:rFonts w:asciiTheme="minorHAnsi" w:hAnsiTheme="minorHAnsi" w:cstheme="minorHAnsi"/>
          <w:bCs/>
          <w:iCs/>
          <w:color w:val="000000"/>
          <w:sz w:val="20"/>
          <w:szCs w:val="20"/>
        </w:rPr>
        <w:t>1.Wykonawca może powierzyć wykonanie części zamówienia Podwykonawcom.</w:t>
      </w:r>
    </w:p>
    <w:p w:rsidR="005F4A7D" w:rsidRDefault="005F4A7D" w:rsidP="005F4A7D">
      <w:pPr>
        <w:jc w:val="both"/>
        <w:outlineLvl w:val="1"/>
        <w:rPr>
          <w:rFonts w:asciiTheme="minorHAnsi" w:hAnsiTheme="minorHAnsi" w:cstheme="minorHAnsi"/>
          <w:bCs/>
          <w:iCs/>
          <w:color w:val="000000"/>
          <w:sz w:val="20"/>
          <w:szCs w:val="20"/>
        </w:rPr>
      </w:pPr>
      <w:r>
        <w:rPr>
          <w:rFonts w:asciiTheme="minorHAnsi" w:hAnsiTheme="minorHAnsi" w:cstheme="minorHAnsi"/>
          <w:bCs/>
          <w:iCs/>
          <w:color w:val="000000"/>
          <w:sz w:val="20"/>
          <w:szCs w:val="20"/>
        </w:rPr>
        <w:t>2. Zamawiający żąda wskazania przez Wykonawcę, w ofercie, części zamówienia, których wykonanie zamierza powierzyć Podwykonawcom oraz podania nazw ewentualnych Podwykonawców, jeżeli są już znani.</w:t>
      </w:r>
    </w:p>
    <w:p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7F360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w:t>
      </w:r>
      <w:r w:rsidR="006864C5">
        <w:rPr>
          <w:rFonts w:asciiTheme="minorHAnsi" w:hAnsiTheme="minorHAnsi" w:cstheme="minorHAnsi"/>
          <w:sz w:val="20"/>
          <w:szCs w:val="20"/>
        </w:rPr>
        <w:t>zp</w:t>
      </w:r>
      <w:proofErr w:type="spellEnd"/>
      <w:r w:rsidR="006864C5">
        <w:rPr>
          <w:rFonts w:asciiTheme="minorHAnsi" w:hAnsiTheme="minorHAnsi" w:cstheme="minorHAnsi"/>
          <w:sz w:val="20"/>
          <w:szCs w:val="20"/>
        </w:rPr>
        <w:t xml:space="preserve"> (art. 505–590).</w:t>
      </w:r>
    </w:p>
    <w:p w:rsidR="006864C5" w:rsidRDefault="006864C5" w:rsidP="005F4A7D">
      <w:pPr>
        <w:tabs>
          <w:tab w:val="left" w:pos="142"/>
        </w:tabs>
        <w:overflowPunct w:val="0"/>
        <w:spacing w:before="120" w:line="276" w:lineRule="auto"/>
        <w:jc w:val="both"/>
        <w:textAlignment w:val="baseline"/>
        <w:rPr>
          <w:rFonts w:asciiTheme="minorHAnsi" w:hAnsiTheme="minorHAnsi" w:cstheme="minorHAnsi"/>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sidRPr="00A22492">
        <w:rPr>
          <w:rFonts w:ascii="Calibri" w:eastAsiaTheme="minorHAnsi" w:hAnsi="Calibri" w:cs="Calibri"/>
          <w:sz w:val="20"/>
          <w:szCs w:val="20"/>
          <w:shd w:val="clear" w:color="auto" w:fill="FFFFFF"/>
          <w:lang w:eastAsia="en-US"/>
        </w:rPr>
        <w:t xml:space="preserve">Zabezpieczenie ustala się w wysokości </w:t>
      </w:r>
      <w:r w:rsidRPr="00A22492">
        <w:rPr>
          <w:rFonts w:ascii="Calibri" w:eastAsiaTheme="minorHAnsi" w:hAnsi="Calibri" w:cs="Calibri"/>
          <w:b/>
          <w:sz w:val="20"/>
          <w:szCs w:val="20"/>
          <w:shd w:val="clear" w:color="auto" w:fill="FFFFFF"/>
          <w:lang w:eastAsia="en-US"/>
        </w:rPr>
        <w:t>5 %</w:t>
      </w:r>
      <w:r w:rsidRPr="00A22492">
        <w:rPr>
          <w:rFonts w:ascii="Calibri" w:eastAsiaTheme="minorHAnsi" w:hAnsi="Calibri" w:cs="Calibri"/>
          <w:sz w:val="20"/>
          <w:szCs w:val="20"/>
          <w:shd w:val="clear" w:color="auto" w:fill="FFFFFF"/>
          <w:lang w:eastAsia="en-US"/>
        </w:rPr>
        <w:t xml:space="preserve"> wartości </w:t>
      </w:r>
      <w:r>
        <w:rPr>
          <w:rFonts w:ascii="Calibri" w:eastAsiaTheme="minorHAnsi" w:hAnsi="Calibri" w:cs="Calibri"/>
          <w:color w:val="000000"/>
          <w:sz w:val="20"/>
          <w:szCs w:val="20"/>
          <w:shd w:val="clear" w:color="auto" w:fill="FFFFFF"/>
          <w:lang w:eastAsia="en-US"/>
        </w:rPr>
        <w:t>całej umowy. Wykonawca wnosi zabezpieczenie przed podpisaniem umowy w sprawie zamówienia publicznego.</w:t>
      </w:r>
    </w:p>
    <w:p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rsidR="005F4A7D" w:rsidRPr="00507733"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sidRPr="00507733">
        <w:rPr>
          <w:rFonts w:ascii="Calibri" w:eastAsiaTheme="minorHAnsi" w:hAnsi="Calibri" w:cs="Calibri"/>
          <w:sz w:val="20"/>
          <w:szCs w:val="20"/>
          <w:shd w:val="clear" w:color="auto" w:fill="FFFFFF"/>
          <w:lang w:eastAsia="en-US"/>
        </w:rPr>
        <w:t xml:space="preserve">Zabezpieczenie wnoszone w pieniądzu Wykonawca wpłaca przelewem na rachunek bankowy </w:t>
      </w:r>
      <w:r w:rsidRPr="00507733">
        <w:rPr>
          <w:rFonts w:ascii="Calibri" w:eastAsiaTheme="minorHAnsi" w:hAnsi="Calibri" w:cstheme="minorBidi"/>
          <w:spacing w:val="4"/>
          <w:sz w:val="20"/>
          <w:szCs w:val="20"/>
          <w:lang w:eastAsia="en-US"/>
        </w:rPr>
        <w:t xml:space="preserve">51 8142 1033 0002 8105 3000 0005 </w:t>
      </w:r>
      <w:r w:rsidRPr="00507733">
        <w:rPr>
          <w:rFonts w:ascii="Calibri" w:eastAsiaTheme="minorHAnsi" w:hAnsi="Calibri" w:cstheme="minorBidi"/>
          <w:b/>
          <w:spacing w:val="4"/>
          <w:sz w:val="20"/>
          <w:szCs w:val="20"/>
          <w:lang w:eastAsia="en-US"/>
        </w:rPr>
        <w:t>z dopiskiem:</w:t>
      </w:r>
    </w:p>
    <w:p w:rsidR="00BD26D5" w:rsidRPr="00BB17B1" w:rsidRDefault="00BB17B1" w:rsidP="00BB17B1">
      <w:pPr>
        <w:pStyle w:val="Akapitzlist"/>
        <w:spacing w:line="360" w:lineRule="auto"/>
        <w:ind w:left="360"/>
        <w:rPr>
          <w:rFonts w:ascii="Times New Roman" w:hAnsi="Times New Roman" w:cs="Times New Roman"/>
          <w:b/>
          <w:sz w:val="20"/>
          <w:szCs w:val="20"/>
        </w:rPr>
      </w:pPr>
      <w:r w:rsidRPr="00BB17B1">
        <w:rPr>
          <w:rFonts w:ascii="Times New Roman" w:hAnsi="Times New Roman" w:cs="Times New Roman"/>
          <w:b/>
          <w:sz w:val="20"/>
          <w:szCs w:val="20"/>
        </w:rPr>
        <w:t>Wykonanie remontów pierścieni rond przy ul. J Słowackiego i ul. Jana Pawła II w miejscowości Niemcz/Osielsko, Gmina Osielsko</w:t>
      </w:r>
      <w:r>
        <w:rPr>
          <w:rFonts w:ascii="Times New Roman" w:hAnsi="Times New Roman" w:cs="Times New Roman"/>
          <w:b/>
          <w:sz w:val="20"/>
          <w:szCs w:val="20"/>
        </w:rPr>
        <w:t>.</w:t>
      </w:r>
    </w:p>
    <w:p w:rsidR="005F4A7D" w:rsidRPr="004F6B6C" w:rsidRDefault="005F4A7D" w:rsidP="005F4A7D">
      <w:pPr>
        <w:spacing w:after="120"/>
        <w:ind w:left="357"/>
        <w:jc w:val="both"/>
        <w:rPr>
          <w:rFonts w:ascii="Calibri" w:hAnsi="Calibri"/>
          <w:b/>
          <w:bCs/>
          <w:sz w:val="20"/>
          <w:szCs w:val="20"/>
        </w:rPr>
      </w:pPr>
      <w:r w:rsidRPr="004F6B6C">
        <w:rPr>
          <w:rFonts w:ascii="Calibri" w:hAnsi="Calibri"/>
          <w:b/>
          <w:sz w:val="20"/>
          <w:szCs w:val="20"/>
        </w:rPr>
        <w:t xml:space="preserve">nr sprawy: </w:t>
      </w:r>
      <w:r w:rsidRPr="004F6B6C">
        <w:rPr>
          <w:rFonts w:ascii="Calibri" w:hAnsi="Calibri"/>
          <w:b/>
          <w:bCs/>
          <w:sz w:val="20"/>
          <w:szCs w:val="20"/>
        </w:rPr>
        <w:t xml:space="preserve">GZK.271. </w:t>
      </w:r>
      <w:r w:rsidR="00BB17B1" w:rsidRPr="004F6B6C">
        <w:rPr>
          <w:rFonts w:ascii="Calibri" w:hAnsi="Calibri"/>
          <w:b/>
          <w:bCs/>
          <w:sz w:val="20"/>
          <w:szCs w:val="20"/>
        </w:rPr>
        <w:t>12</w:t>
      </w:r>
      <w:r w:rsidRPr="004F6B6C">
        <w:rPr>
          <w:rFonts w:ascii="Calibri" w:hAnsi="Calibri"/>
          <w:b/>
          <w:bCs/>
          <w:sz w:val="20"/>
          <w:szCs w:val="20"/>
        </w:rPr>
        <w:t xml:space="preserve"> . 2021</w:t>
      </w:r>
      <w:r w:rsidR="00BD26D5" w:rsidRPr="004F6B6C">
        <w:rPr>
          <w:rFonts w:ascii="Calibri" w:hAnsi="Calibri"/>
          <w:b/>
          <w:bCs/>
          <w:sz w:val="20"/>
          <w:szCs w:val="20"/>
        </w:rPr>
        <w:t xml:space="preserve"> </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5F4A7D" w:rsidRDefault="005F4A7D" w:rsidP="005F4A7D">
      <w:pPr>
        <w:jc w:val="both"/>
        <w:rPr>
          <w:rFonts w:cstheme="minorHAnsi"/>
          <w:sz w:val="18"/>
          <w:szCs w:val="18"/>
        </w:rPr>
      </w:pPr>
      <w:r>
        <w:rPr>
          <w:rFonts w:cstheme="minorHAnsi"/>
          <w:b/>
          <w:bCs/>
          <w:sz w:val="18"/>
          <w:szCs w:val="18"/>
        </w:rPr>
        <w:t>1. Informacje dotyczące Administratora Danych</w:t>
      </w:r>
    </w:p>
    <w:p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lastRenderedPageBreak/>
        <w:t>telefonicznie: 52 328 26 00</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182612">
        <w:rPr>
          <w:rFonts w:asciiTheme="minorHAnsi" w:hAnsiTheme="minorHAnsi" w:cstheme="minorHAnsi"/>
          <w:b/>
          <w:sz w:val="20"/>
          <w:szCs w:val="20"/>
        </w:rPr>
        <w:t>10</w:t>
      </w:r>
      <w:r w:rsidRPr="005F4A7D">
        <w:rPr>
          <w:rFonts w:asciiTheme="minorHAnsi" w:hAnsiTheme="minorHAnsi" w:cstheme="minorHAnsi"/>
          <w:b/>
          <w:sz w:val="20"/>
          <w:szCs w:val="20"/>
        </w:rPr>
        <w:t xml:space="preserve"> .2021</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rsidR="005F4A7D" w:rsidRDefault="00953EB3" w:rsidP="005F4A7D">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5F4A7D" w:rsidRDefault="004E372E" w:rsidP="005F4A7D">
      <w:pPr>
        <w:rPr>
          <w:rFonts w:asciiTheme="minorHAnsi" w:hAnsiTheme="minorHAnsi" w:cstheme="minorHAnsi"/>
          <w:sz w:val="20"/>
          <w:szCs w:val="20"/>
        </w:rPr>
      </w:pPr>
      <w:r>
        <w:fldChar w:fldCharType="begin"/>
      </w:r>
      <w:r w:rsidR="005F4A7D">
        <w:instrText xml:space="preserve"> HYPERLINK "http://www.rcb.bip-e.pl/rcb/zamowienia-publiczne/8361,Klauzula-informacyjna-dotyczaca-danych-osobowych-uczestnikow-postepowan-o-zamowi.html" \l "_ftnref1" \o "" </w:instrText>
      </w:r>
      <w:r>
        <w:fldChar w:fldCharType="separate"/>
      </w:r>
      <w:r w:rsidR="005F4A7D">
        <w:rPr>
          <w:rStyle w:val="Hipercze"/>
          <w:rFonts w:asciiTheme="minorHAnsi" w:eastAsiaTheme="majorEastAsia" w:hAnsiTheme="minorHAnsi" w:cstheme="minorHAnsi"/>
          <w:color w:val="auto"/>
          <w:sz w:val="20"/>
          <w:szCs w:val="20"/>
        </w:rPr>
        <w:t>[1]</w:t>
      </w:r>
      <w:r>
        <w:fldChar w:fldCharType="end"/>
      </w:r>
      <w:bookmarkEnd w:id="5"/>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sidR="005F4A7D">
        <w:rPr>
          <w:rFonts w:asciiTheme="minorHAnsi" w:hAnsiTheme="minorHAnsi" w:cstheme="minorHAnsi"/>
          <w:i/>
          <w:iCs/>
          <w:sz w:val="20"/>
          <w:szCs w:val="20"/>
        </w:rPr>
        <w:t>Pzp</w:t>
      </w:r>
      <w:proofErr w:type="spellEnd"/>
      <w:r w:rsidR="005F4A7D">
        <w:rPr>
          <w:rFonts w:asciiTheme="minorHAnsi" w:hAnsiTheme="minorHAnsi" w:cstheme="minorHAnsi"/>
          <w:i/>
          <w:iCs/>
          <w:sz w:val="20"/>
          <w:szCs w:val="20"/>
        </w:rPr>
        <w:t xml:space="preserve"> oraz nie może naruszać integralności protokołu oraz jego załączników.</w:t>
      </w:r>
      <w:bookmarkStart w:id="6" w:name="_ftn2"/>
    </w:p>
    <w:p w:rsidR="005F4A7D" w:rsidRDefault="00953EB3"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6"/>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w:t>
      </w:r>
    </w:p>
    <w:p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rsidR="005F4A7D" w:rsidRDefault="005F4A7D" w:rsidP="005F4A7D"/>
    <w:p w:rsidR="005F4A7D" w:rsidRDefault="005F4A7D" w:rsidP="005F4A7D"/>
    <w:p w:rsidR="00FC38D8" w:rsidRDefault="00FC38D8"/>
    <w:sectPr w:rsidR="00FC38D8" w:rsidSect="003F2A3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B3" w:rsidRDefault="00953EB3" w:rsidP="00BD26D5">
      <w:r>
        <w:separator/>
      </w:r>
    </w:p>
  </w:endnote>
  <w:endnote w:type="continuationSeparator" w:id="0">
    <w:p w:rsidR="00953EB3" w:rsidRDefault="00953EB3"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rsidR="00FC79CD" w:rsidRDefault="00427860">
        <w:pPr>
          <w:pStyle w:val="Stopka"/>
          <w:pBdr>
            <w:top w:val="single" w:sz="4" w:space="1" w:color="D9D9D9" w:themeColor="background1" w:themeShade="D9"/>
          </w:pBdr>
          <w:jc w:val="right"/>
        </w:pPr>
        <w:r>
          <w:fldChar w:fldCharType="begin"/>
        </w:r>
        <w:r>
          <w:instrText>PAGE   \* MERGEFORMAT</w:instrText>
        </w:r>
        <w:r>
          <w:fldChar w:fldCharType="separate"/>
        </w:r>
        <w:r w:rsidR="001D78ED">
          <w:rPr>
            <w:noProof/>
          </w:rPr>
          <w:t>11</w:t>
        </w:r>
        <w:r>
          <w:rPr>
            <w:noProof/>
          </w:rPr>
          <w:fldChar w:fldCharType="end"/>
        </w:r>
        <w:r w:rsidR="00FC79CD">
          <w:t xml:space="preserve"> | </w:t>
        </w:r>
        <w:r w:rsidR="00FC79CD">
          <w:rPr>
            <w:color w:val="808080" w:themeColor="background1" w:themeShade="80"/>
            <w:spacing w:val="60"/>
          </w:rPr>
          <w:t>Strona</w:t>
        </w:r>
      </w:p>
    </w:sdtContent>
  </w:sdt>
  <w:p w:rsidR="00FC79CD" w:rsidRDefault="00FC79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B3" w:rsidRDefault="00953EB3" w:rsidP="00BD26D5">
      <w:r>
        <w:separator/>
      </w:r>
    </w:p>
  </w:footnote>
  <w:footnote w:type="continuationSeparator" w:id="0">
    <w:p w:rsidR="00953EB3" w:rsidRDefault="00953EB3"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1">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nsid w:val="2D0300C9"/>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2EB1DAF"/>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8E011A"/>
    <w:multiLevelType w:val="hybridMultilevel"/>
    <w:tmpl w:val="1F88130C"/>
    <w:lvl w:ilvl="0" w:tplc="3476FAA4">
      <w:start w:val="1"/>
      <w:numFmt w:val="decimal"/>
      <w:lvlText w:val="%1."/>
      <w:lvlJc w:val="left"/>
      <w:pPr>
        <w:tabs>
          <w:tab w:val="num" w:pos="360"/>
        </w:tabs>
        <w:ind w:left="360" w:hanging="360"/>
      </w:pPr>
      <w:rPr>
        <w:rFonts w:asciiTheme="minorHAnsi" w:hAnsiTheme="minorHAnsi" w:cstheme="minorHAnsi" w:hint="default"/>
        <w:color w:val="auto"/>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2">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47025C4"/>
    <w:multiLevelType w:val="hybridMultilevel"/>
    <w:tmpl w:val="3692D1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3"/>
  </w:num>
  <w:num w:numId="29">
    <w:abstractNumId w:val="24"/>
  </w:num>
  <w:num w:numId="30">
    <w:abstractNumId w:val="15"/>
  </w:num>
  <w:num w:numId="31">
    <w:abstractNumId w:val="22"/>
  </w:num>
  <w:num w:numId="32">
    <w:abstractNumId w:val="8"/>
  </w:num>
  <w:num w:numId="33">
    <w:abstractNumId w:val="20"/>
  </w:num>
  <w:num w:numId="34">
    <w:abstractNumId w:val="7"/>
  </w:num>
  <w:num w:numId="35">
    <w:abstractNumId w:val="16"/>
  </w:num>
  <w:num w:numId="36">
    <w:abstractNumId w:val="25"/>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4A7D"/>
    <w:rsid w:val="00010D00"/>
    <w:rsid w:val="000865F5"/>
    <w:rsid w:val="000D0195"/>
    <w:rsid w:val="00127A58"/>
    <w:rsid w:val="00182612"/>
    <w:rsid w:val="001948E1"/>
    <w:rsid w:val="001A5AC3"/>
    <w:rsid w:val="001C0875"/>
    <w:rsid w:val="001D78ED"/>
    <w:rsid w:val="001F4C9D"/>
    <w:rsid w:val="002545D7"/>
    <w:rsid w:val="0031151B"/>
    <w:rsid w:val="00311BA8"/>
    <w:rsid w:val="00313CF8"/>
    <w:rsid w:val="00322A5C"/>
    <w:rsid w:val="003601C8"/>
    <w:rsid w:val="003A1CD0"/>
    <w:rsid w:val="003B2283"/>
    <w:rsid w:val="003D7938"/>
    <w:rsid w:val="003E1A0F"/>
    <w:rsid w:val="003E432F"/>
    <w:rsid w:val="003E695D"/>
    <w:rsid w:val="003F2A34"/>
    <w:rsid w:val="003F3638"/>
    <w:rsid w:val="004131F8"/>
    <w:rsid w:val="00414029"/>
    <w:rsid w:val="00427860"/>
    <w:rsid w:val="00474AB3"/>
    <w:rsid w:val="004B46F5"/>
    <w:rsid w:val="004B474F"/>
    <w:rsid w:val="004D309F"/>
    <w:rsid w:val="004E372E"/>
    <w:rsid w:val="004E5D9A"/>
    <w:rsid w:val="004F6B6C"/>
    <w:rsid w:val="00502AC0"/>
    <w:rsid w:val="005048D0"/>
    <w:rsid w:val="005048E9"/>
    <w:rsid w:val="00507733"/>
    <w:rsid w:val="00551741"/>
    <w:rsid w:val="00554AD7"/>
    <w:rsid w:val="00581D73"/>
    <w:rsid w:val="005F4A7D"/>
    <w:rsid w:val="00641DC2"/>
    <w:rsid w:val="006864C5"/>
    <w:rsid w:val="006935F4"/>
    <w:rsid w:val="006C015B"/>
    <w:rsid w:val="0070650B"/>
    <w:rsid w:val="0073202F"/>
    <w:rsid w:val="0074688C"/>
    <w:rsid w:val="007804E7"/>
    <w:rsid w:val="007C18CC"/>
    <w:rsid w:val="007E1A34"/>
    <w:rsid w:val="007E6E0F"/>
    <w:rsid w:val="007F360D"/>
    <w:rsid w:val="008170BF"/>
    <w:rsid w:val="00867018"/>
    <w:rsid w:val="008D050A"/>
    <w:rsid w:val="008E6077"/>
    <w:rsid w:val="008E6314"/>
    <w:rsid w:val="00917C61"/>
    <w:rsid w:val="00934E1E"/>
    <w:rsid w:val="00953EB3"/>
    <w:rsid w:val="00956F62"/>
    <w:rsid w:val="009732A9"/>
    <w:rsid w:val="009F53A8"/>
    <w:rsid w:val="00A04E84"/>
    <w:rsid w:val="00A22492"/>
    <w:rsid w:val="00A52D49"/>
    <w:rsid w:val="00A71F60"/>
    <w:rsid w:val="00AB05A4"/>
    <w:rsid w:val="00AD4C4F"/>
    <w:rsid w:val="00B947CD"/>
    <w:rsid w:val="00BA3CD5"/>
    <w:rsid w:val="00BA53AF"/>
    <w:rsid w:val="00BB17B1"/>
    <w:rsid w:val="00BB74A7"/>
    <w:rsid w:val="00BC62BC"/>
    <w:rsid w:val="00BD26D5"/>
    <w:rsid w:val="00BF7264"/>
    <w:rsid w:val="00C029EF"/>
    <w:rsid w:val="00C30FE2"/>
    <w:rsid w:val="00C42703"/>
    <w:rsid w:val="00C65F25"/>
    <w:rsid w:val="00CC39D6"/>
    <w:rsid w:val="00D0097D"/>
    <w:rsid w:val="00D564A4"/>
    <w:rsid w:val="00D60087"/>
    <w:rsid w:val="00D72C20"/>
    <w:rsid w:val="00DF0069"/>
    <w:rsid w:val="00DF5C11"/>
    <w:rsid w:val="00E1175A"/>
    <w:rsid w:val="00E70FA9"/>
    <w:rsid w:val="00ED3194"/>
    <w:rsid w:val="00F26C25"/>
    <w:rsid w:val="00F539DB"/>
    <w:rsid w:val="00FA4A67"/>
    <w:rsid w:val="00FB6A1B"/>
    <w:rsid w:val="00FB6C50"/>
    <w:rsid w:val="00FC1DEE"/>
    <w:rsid w:val="00FC38D8"/>
    <w:rsid w:val="00FC79CD"/>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gzk-zoledowo.p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1301a885-2451-4ff3-a06c-a492101bfcc5"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1301a885-2451-4ff3-a06c-a492101bfcc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ok@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DAA2-84F2-4305-95AA-E239DA35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8712</Words>
  <Characters>52278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9</cp:revision>
  <dcterms:created xsi:type="dcterms:W3CDTF">2021-07-09T09:37:00Z</dcterms:created>
  <dcterms:modified xsi:type="dcterms:W3CDTF">2021-07-13T11:54:00Z</dcterms:modified>
</cp:coreProperties>
</file>