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005FCD" w:rsidRDefault="00005FCD" w:rsidP="005F4A7D">
                            <w:pPr>
                              <w:pStyle w:val="Nagwek1"/>
                              <w:jc w:val="center"/>
                            </w:pPr>
                            <w:r>
                              <w:t>Gminny Zakład Komunalny</w:t>
                            </w:r>
                          </w:p>
                          <w:p w14:paraId="3F1393B1" w14:textId="77777777" w:rsidR="00005FCD" w:rsidRDefault="00005FCD"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005FCD" w:rsidRDefault="00005FCD" w:rsidP="005F4A7D">
                      <w:pPr>
                        <w:pStyle w:val="Nagwek1"/>
                        <w:jc w:val="center"/>
                      </w:pPr>
                      <w:r>
                        <w:t>Gminny Zakład Komunalny</w:t>
                      </w:r>
                    </w:p>
                    <w:p w14:paraId="3F1393B1" w14:textId="77777777" w:rsidR="00005FCD" w:rsidRDefault="00005FCD"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7FA10A64" w:rsidR="005F4A7D" w:rsidRPr="00E34651" w:rsidRDefault="005F4A7D" w:rsidP="00BB62FA">
      <w:pPr>
        <w:spacing w:line="360" w:lineRule="auto"/>
        <w:jc w:val="center"/>
        <w:rPr>
          <w:rFonts w:ascii="Calibri" w:hAnsi="Calibri" w:cs="Calibri"/>
          <w:b/>
          <w:color w:val="000000" w:themeColor="text1"/>
        </w:rPr>
      </w:pPr>
      <w:bookmarkStart w:id="0" w:name="_Hlk70665432"/>
      <w:r w:rsidRPr="00E34651">
        <w:rPr>
          <w:rFonts w:ascii="Calibri" w:hAnsi="Calibri" w:cs="Calibri"/>
          <w:b/>
          <w:color w:val="000000" w:themeColor="text1"/>
        </w:rPr>
        <w:t>Budowa sieci wodociągowej i kanalizacji sanitarnej</w:t>
      </w:r>
      <w:r w:rsidR="00515920" w:rsidRPr="00E34651">
        <w:rPr>
          <w:rFonts w:ascii="Calibri" w:hAnsi="Calibri" w:cs="Calibri"/>
          <w:b/>
          <w:color w:val="000000" w:themeColor="text1"/>
        </w:rPr>
        <w:t xml:space="preserve"> </w:t>
      </w:r>
      <w:r w:rsidR="003A1CD0" w:rsidRPr="00E34651">
        <w:rPr>
          <w:rFonts w:ascii="Calibri" w:hAnsi="Calibri" w:cs="Calibri"/>
          <w:b/>
          <w:color w:val="000000" w:themeColor="text1"/>
        </w:rPr>
        <w:t xml:space="preserve">w miejscowości </w:t>
      </w:r>
      <w:r w:rsidR="00BB62FA" w:rsidRPr="00E34651">
        <w:rPr>
          <w:rFonts w:ascii="Calibri" w:hAnsi="Calibri" w:cs="Calibri"/>
          <w:b/>
          <w:color w:val="000000" w:themeColor="text1"/>
        </w:rPr>
        <w:t>Niemcz</w:t>
      </w:r>
      <w:r w:rsidR="003A1CD0" w:rsidRPr="00E34651">
        <w:rPr>
          <w:rFonts w:ascii="Calibri" w:hAnsi="Calibri" w:cs="Calibri"/>
          <w:b/>
          <w:color w:val="000000" w:themeColor="text1"/>
        </w:rPr>
        <w:t xml:space="preserve"> </w:t>
      </w:r>
      <w:r w:rsidR="00BB62FA" w:rsidRPr="00E34651">
        <w:rPr>
          <w:rFonts w:ascii="Calibri" w:hAnsi="Calibri" w:cs="Calibri"/>
          <w:b/>
          <w:color w:val="000000" w:themeColor="text1"/>
        </w:rPr>
        <w:t>gm. Osielsko</w:t>
      </w:r>
      <w:bookmarkEnd w:id="0"/>
      <w:r w:rsidR="0029025F" w:rsidRPr="00E34651">
        <w:rPr>
          <w:rFonts w:ascii="Calibri" w:hAnsi="Calibri" w:cs="Calibri"/>
          <w:b/>
          <w:color w:val="000000" w:themeColor="text1"/>
        </w:rPr>
        <w:t>.</w:t>
      </w:r>
    </w:p>
    <w:p w14:paraId="6EEB8CB8" w14:textId="77777777" w:rsidR="005F4A7D" w:rsidRPr="00E34651" w:rsidRDefault="005F4A7D" w:rsidP="002545D7">
      <w:pPr>
        <w:spacing w:line="480" w:lineRule="auto"/>
        <w:rPr>
          <w:rFonts w:ascii="Calibri" w:hAnsi="Calibri" w:cs="Calibri"/>
          <w:b/>
          <w:color w:val="000000" w:themeColor="text1"/>
        </w:rPr>
      </w:pPr>
    </w:p>
    <w:p w14:paraId="5D8252CC" w14:textId="77777777" w:rsidR="005F4A7D" w:rsidRPr="00E34651" w:rsidRDefault="005F4A7D" w:rsidP="005F4A7D">
      <w:pPr>
        <w:spacing w:line="480" w:lineRule="auto"/>
        <w:jc w:val="center"/>
        <w:rPr>
          <w:rFonts w:ascii="Calibri" w:hAnsi="Calibri" w:cs="Calibri"/>
          <w:b/>
          <w:color w:val="000000" w:themeColor="text1"/>
          <w:sz w:val="28"/>
          <w:szCs w:val="28"/>
        </w:rPr>
      </w:pPr>
    </w:p>
    <w:p w14:paraId="6BAF41EF" w14:textId="6CD88848" w:rsidR="005F4A7D" w:rsidRPr="00E34651" w:rsidRDefault="005F4A7D" w:rsidP="005F4A7D">
      <w:pPr>
        <w:spacing w:line="480" w:lineRule="auto"/>
        <w:jc w:val="center"/>
        <w:rPr>
          <w:rFonts w:ascii="Calibri" w:hAnsi="Calibri" w:cs="Calibri"/>
          <w:b/>
          <w:color w:val="000000" w:themeColor="text1"/>
        </w:rPr>
      </w:pPr>
      <w:r w:rsidRPr="00E34651">
        <w:rPr>
          <w:rFonts w:ascii="Calibri" w:hAnsi="Calibri" w:cs="Calibri"/>
          <w:b/>
          <w:color w:val="000000" w:themeColor="text1"/>
        </w:rPr>
        <w:t>nr referencyjny GZK.271.</w:t>
      </w:r>
      <w:r w:rsidR="0029025F" w:rsidRPr="00E34651">
        <w:rPr>
          <w:rFonts w:ascii="Calibri" w:hAnsi="Calibri" w:cs="Calibri"/>
          <w:b/>
          <w:color w:val="000000" w:themeColor="text1"/>
        </w:rPr>
        <w:t>5</w:t>
      </w:r>
      <w:r w:rsidRPr="00E34651">
        <w:rPr>
          <w:rFonts w:ascii="Calibri" w:hAnsi="Calibri" w:cs="Calibri"/>
          <w:b/>
          <w:color w:val="000000" w:themeColor="text1"/>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Pr="00E34651" w:rsidRDefault="005F4A7D" w:rsidP="005F4A7D">
      <w:pPr>
        <w:rPr>
          <w:rFonts w:ascii="Calibri" w:hAnsi="Calibri" w:cs="Calibri"/>
          <w:color w:val="000000" w:themeColor="text1"/>
        </w:rPr>
      </w:pPr>
    </w:p>
    <w:p w14:paraId="6FBA3BAC" w14:textId="2272C53A" w:rsidR="005F4A7D" w:rsidRPr="00E34651" w:rsidRDefault="005F4A7D" w:rsidP="005F4A7D">
      <w:pPr>
        <w:rPr>
          <w:rFonts w:ascii="Calibri" w:hAnsi="Calibri" w:cs="Calibri"/>
          <w:b/>
          <w:color w:val="000000" w:themeColor="text1"/>
        </w:rPr>
      </w:pPr>
      <w:r w:rsidRPr="00E34651">
        <w:rPr>
          <w:rFonts w:ascii="Calibri" w:hAnsi="Calibri" w:cs="Calibri"/>
          <w:b/>
          <w:color w:val="000000" w:themeColor="text1"/>
        </w:rPr>
        <w:t xml:space="preserve">Żołędowo, dnia </w:t>
      </w:r>
      <w:r w:rsidR="00E34651">
        <w:rPr>
          <w:rFonts w:ascii="Calibri" w:hAnsi="Calibri" w:cs="Calibri"/>
          <w:b/>
          <w:color w:val="000000" w:themeColor="text1"/>
        </w:rPr>
        <w:t>27</w:t>
      </w:r>
      <w:r w:rsidRPr="00E34651">
        <w:rPr>
          <w:rFonts w:ascii="Calibri" w:hAnsi="Calibri" w:cs="Calibri"/>
          <w:b/>
          <w:color w:val="000000" w:themeColor="text1"/>
        </w:rPr>
        <w:t>.0</w:t>
      </w:r>
      <w:r w:rsidR="00E34651">
        <w:rPr>
          <w:rFonts w:ascii="Calibri" w:hAnsi="Calibri" w:cs="Calibri"/>
          <w:b/>
          <w:color w:val="000000" w:themeColor="text1"/>
        </w:rPr>
        <w:t>5</w:t>
      </w:r>
      <w:r w:rsidRPr="00E34651">
        <w:rPr>
          <w:rFonts w:ascii="Calibri" w:hAnsi="Calibri" w:cs="Calibri"/>
          <w:b/>
          <w:color w:val="000000" w:themeColor="text1"/>
        </w:rPr>
        <w:t>.2021 r.</w:t>
      </w:r>
    </w:p>
    <w:p w14:paraId="7CAF7032" w14:textId="71701CAE" w:rsidR="0029025F" w:rsidRDefault="0029025F" w:rsidP="005F4A7D">
      <w:pPr>
        <w:rPr>
          <w:rFonts w:ascii="Calibri" w:hAnsi="Calibri" w:cs="Calibri"/>
          <w:b/>
          <w:color w:val="FF0000"/>
        </w:rPr>
      </w:pPr>
    </w:p>
    <w:p w14:paraId="75093C6A" w14:textId="7E5F9C6D" w:rsidR="0029025F" w:rsidRDefault="0029025F" w:rsidP="005F4A7D">
      <w:pPr>
        <w:rPr>
          <w:rFonts w:ascii="Calibri" w:hAnsi="Calibri" w:cs="Calibri"/>
          <w:b/>
          <w:color w:val="FF0000"/>
        </w:rPr>
      </w:pPr>
    </w:p>
    <w:p w14:paraId="3500ED6C" w14:textId="77777777" w:rsidR="0029025F" w:rsidRPr="00515920" w:rsidRDefault="0029025F"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7F2F7FA9" w:rsidR="00515920" w:rsidRPr="00E34651" w:rsidRDefault="005F4A7D" w:rsidP="00515920">
      <w:pPr>
        <w:widowControl w:val="0"/>
        <w:numPr>
          <w:ilvl w:val="0"/>
          <w:numId w:val="1"/>
        </w:numPr>
        <w:autoSpaceDE w:val="0"/>
        <w:autoSpaceDN w:val="0"/>
        <w:adjustRightInd w:val="0"/>
        <w:spacing w:before="120"/>
        <w:jc w:val="both"/>
        <w:rPr>
          <w:rFonts w:ascii="Calibri" w:hAnsi="Calibri"/>
          <w:b/>
          <w:color w:val="000000" w:themeColor="text1"/>
          <w:sz w:val="20"/>
        </w:rPr>
      </w:pPr>
      <w:r w:rsidRPr="00515920">
        <w:rPr>
          <w:rFonts w:ascii="Calibri" w:eastAsia="Calibri" w:hAnsi="Calibri" w:cstheme="minorBidi"/>
          <w:color w:val="000000"/>
          <w:sz w:val="20"/>
          <w:szCs w:val="20"/>
          <w:lang w:eastAsia="en-US"/>
        </w:rPr>
        <w:t xml:space="preserve">Przedmiotem zamówienia jest: </w:t>
      </w:r>
      <w:r w:rsidR="0029025F" w:rsidRPr="00E34651">
        <w:rPr>
          <w:rFonts w:ascii="Calibri" w:hAnsi="Calibri" w:cs="Calibri"/>
          <w:b/>
          <w:color w:val="000000" w:themeColor="text1"/>
          <w:sz w:val="20"/>
          <w:szCs w:val="20"/>
        </w:rPr>
        <w:t>Budowa sieci wodociągowej i kanalizacji sanitarnej w miejscowości Niemcz gm. Osielsko</w:t>
      </w:r>
    </w:p>
    <w:p w14:paraId="7E1DE7DB" w14:textId="77777777" w:rsidR="0029025F" w:rsidRPr="00E34651" w:rsidRDefault="0029025F" w:rsidP="0029025F">
      <w:pPr>
        <w:jc w:val="both"/>
        <w:rPr>
          <w:rFonts w:ascii="Calibri" w:hAnsi="Calibri"/>
          <w:b/>
          <w:color w:val="000000" w:themeColor="text1"/>
          <w:sz w:val="20"/>
        </w:rPr>
      </w:pPr>
      <w:r w:rsidRPr="00E34651">
        <w:rPr>
          <w:rFonts w:ascii="Calibri" w:hAnsi="Calibri"/>
          <w:b/>
          <w:color w:val="000000" w:themeColor="text1"/>
          <w:sz w:val="20"/>
        </w:rPr>
        <w:t xml:space="preserve">Część A: </w:t>
      </w:r>
    </w:p>
    <w:p w14:paraId="5C54B006" w14:textId="5037A3F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Budowa sieci wodociągowej i kanalizacji sanitarnej grawitacyjnej wraz z odgałęzieniami do granicy działek rejonie w ul. Matejk</w:t>
      </w:r>
      <w:r w:rsidR="00900C44" w:rsidRPr="00E34651">
        <w:rPr>
          <w:rFonts w:ascii="Calibri" w:hAnsi="Calibri"/>
          <w:bCs/>
          <w:color w:val="000000" w:themeColor="text1"/>
          <w:sz w:val="20"/>
        </w:rPr>
        <w:t>i</w:t>
      </w:r>
      <w:r w:rsidRPr="00E34651">
        <w:rPr>
          <w:rFonts w:ascii="Calibri" w:hAnsi="Calibri"/>
          <w:bCs/>
          <w:color w:val="000000" w:themeColor="text1"/>
          <w:sz w:val="20"/>
        </w:rPr>
        <w:t xml:space="preserve"> w miejscowości Niemcz gm. Osielsko: </w:t>
      </w:r>
    </w:p>
    <w:p w14:paraId="37F1AC93"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xml:space="preserve">- sieć wodociągowa PEØ110 –245 m </w:t>
      </w:r>
    </w:p>
    <w:p w14:paraId="4D764770"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xml:space="preserve">- sieć kanalizacji sanitarnej grawitacyjnej PCVØ200 – 513 m </w:t>
      </w:r>
    </w:p>
    <w:p w14:paraId="4D9F6AD4" w14:textId="77777777" w:rsidR="0029025F" w:rsidRPr="00E34651" w:rsidRDefault="0029025F" w:rsidP="0029025F">
      <w:pPr>
        <w:spacing w:before="120"/>
        <w:jc w:val="both"/>
        <w:rPr>
          <w:rFonts w:ascii="Calibri" w:hAnsi="Calibri"/>
          <w:b/>
          <w:color w:val="000000" w:themeColor="text1"/>
          <w:sz w:val="20"/>
        </w:rPr>
      </w:pPr>
      <w:r w:rsidRPr="00E34651">
        <w:rPr>
          <w:rFonts w:ascii="Calibri" w:hAnsi="Calibri"/>
          <w:b/>
          <w:color w:val="000000" w:themeColor="text1"/>
          <w:sz w:val="20"/>
        </w:rPr>
        <w:t xml:space="preserve">Część B: </w:t>
      </w:r>
    </w:p>
    <w:p w14:paraId="77D22A5E" w14:textId="42433A48"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xml:space="preserve">Budowa sieci wodociągowej i kanalizacji sanitarnej grawitacyjnej i ciśnieniowej wraz z odgałęzieniami </w:t>
      </w:r>
      <w:r w:rsidR="003155D9" w:rsidRPr="00E34651">
        <w:rPr>
          <w:rFonts w:ascii="Calibri" w:hAnsi="Calibri"/>
          <w:bCs/>
          <w:color w:val="000000" w:themeColor="text1"/>
          <w:sz w:val="20"/>
        </w:rPr>
        <w:br/>
      </w:r>
      <w:r w:rsidRPr="00E34651">
        <w:rPr>
          <w:rFonts w:ascii="Calibri" w:hAnsi="Calibri"/>
          <w:bCs/>
          <w:color w:val="000000" w:themeColor="text1"/>
          <w:sz w:val="20"/>
        </w:rPr>
        <w:t>do granicy działek oraz przepompownią ścieków w ul. Sadyba miejscowości Niemcz</w:t>
      </w:r>
      <w:r w:rsidR="003155D9" w:rsidRPr="00E34651">
        <w:rPr>
          <w:rFonts w:ascii="Calibri" w:hAnsi="Calibri"/>
          <w:bCs/>
          <w:color w:val="000000" w:themeColor="text1"/>
          <w:sz w:val="20"/>
        </w:rPr>
        <w:t xml:space="preserve"> </w:t>
      </w:r>
      <w:r w:rsidRPr="00E34651">
        <w:rPr>
          <w:rFonts w:ascii="Calibri" w:hAnsi="Calibri"/>
          <w:bCs/>
          <w:color w:val="000000" w:themeColor="text1"/>
          <w:sz w:val="20"/>
        </w:rPr>
        <w:t xml:space="preserve">gm. Osielsko: </w:t>
      </w:r>
    </w:p>
    <w:p w14:paraId="54B052CE"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sieć wodociągowa PEØ110 –552,5 m</w:t>
      </w:r>
    </w:p>
    <w:p w14:paraId="0B659004"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sieć wodociągowa PEØ90 –15 m</w:t>
      </w:r>
    </w:p>
    <w:p w14:paraId="5252A180"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xml:space="preserve">- sieć kanalizacji sanitarnej grawitacyjnej PCVØ200 – 455,5 m </w:t>
      </w:r>
    </w:p>
    <w:p w14:paraId="470A803E"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lastRenderedPageBreak/>
        <w:t xml:space="preserve">- odgałęzienie sieci kanalizacji sanitarnej PCVØ160 – 144,5 m szt. 24 </w:t>
      </w:r>
    </w:p>
    <w:p w14:paraId="78E6B511"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sieć kanalizacji sanitarnej ciśnieniowej PEØ90 – 431 m</w:t>
      </w:r>
    </w:p>
    <w:p w14:paraId="45BD589E" w14:textId="77777777" w:rsidR="0029025F" w:rsidRPr="00E34651" w:rsidRDefault="0029025F" w:rsidP="0029025F">
      <w:pPr>
        <w:jc w:val="both"/>
        <w:rPr>
          <w:rFonts w:ascii="Calibri" w:hAnsi="Calibri"/>
          <w:bCs/>
          <w:color w:val="000000" w:themeColor="text1"/>
          <w:sz w:val="20"/>
        </w:rPr>
      </w:pPr>
      <w:r w:rsidRPr="00E34651">
        <w:rPr>
          <w:rFonts w:ascii="Calibri" w:hAnsi="Calibri"/>
          <w:bCs/>
          <w:color w:val="000000" w:themeColor="text1"/>
          <w:sz w:val="20"/>
        </w:rPr>
        <w:t xml:space="preserve">- przepompownia ścieków – szt. 1 </w:t>
      </w: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629B8">
      <w:pPr>
        <w:widowControl w:val="0"/>
        <w:numPr>
          <w:ilvl w:val="0"/>
          <w:numId w:val="36"/>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77777777"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 xml:space="preserve">w Żołędowie. </w:t>
      </w:r>
    </w:p>
    <w:p w14:paraId="6F0FAC11" w14:textId="5CA0B925" w:rsid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629B8">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77777777" w:rsidR="008E6077"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 xml:space="preserve">- </w:t>
      </w:r>
      <w:r w:rsidRPr="00E34651">
        <w:rPr>
          <w:rFonts w:ascii="Calibri" w:hAnsi="Calibri"/>
          <w:b/>
          <w:bCs/>
          <w:color w:val="000000" w:themeColor="text1"/>
          <w:sz w:val="20"/>
          <w:szCs w:val="20"/>
        </w:rPr>
        <w:t>część A, B.</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3778162D" w:rsidR="005F4A7D" w:rsidRPr="00E34651" w:rsidRDefault="005F4A7D" w:rsidP="005F4A7D">
      <w:pPr>
        <w:spacing w:before="120" w:after="120" w:line="276" w:lineRule="auto"/>
        <w:jc w:val="both"/>
        <w:rPr>
          <w:rFonts w:ascii="Calibri" w:hAnsi="Calibri"/>
          <w:b/>
          <w:bCs/>
          <w:color w:val="000000" w:themeColor="text1"/>
          <w:sz w:val="20"/>
          <w:szCs w:val="20"/>
          <w:u w:val="single"/>
        </w:rPr>
      </w:pPr>
      <w:r w:rsidRPr="00E34651">
        <w:rPr>
          <w:rFonts w:ascii="Calibri" w:hAnsi="Calibri"/>
          <w:b/>
          <w:color w:val="000000" w:themeColor="text1"/>
          <w:sz w:val="20"/>
          <w:szCs w:val="20"/>
          <w:u w:val="single"/>
        </w:rPr>
        <w:t xml:space="preserve">1.Zamawiający wymaga realizacji zamówienia w terminie do: </w:t>
      </w:r>
      <w:r w:rsidR="00AE2F51" w:rsidRPr="00E34651">
        <w:rPr>
          <w:rFonts w:ascii="Calibri" w:hAnsi="Calibri"/>
          <w:b/>
          <w:bCs/>
          <w:color w:val="000000" w:themeColor="text1"/>
          <w:sz w:val="20"/>
          <w:szCs w:val="20"/>
          <w:u w:val="single"/>
        </w:rPr>
        <w:t>5</w:t>
      </w:r>
      <w:r w:rsidR="00010D00" w:rsidRPr="00E34651">
        <w:rPr>
          <w:rFonts w:ascii="Calibri" w:hAnsi="Calibri"/>
          <w:b/>
          <w:bCs/>
          <w:color w:val="000000" w:themeColor="text1"/>
          <w:sz w:val="20"/>
          <w:szCs w:val="20"/>
          <w:u w:val="single"/>
        </w:rPr>
        <w:t xml:space="preserve"> </w:t>
      </w:r>
      <w:proofErr w:type="spellStart"/>
      <w:r w:rsidR="00010D00" w:rsidRPr="00E34651">
        <w:rPr>
          <w:rFonts w:ascii="Calibri" w:hAnsi="Calibri"/>
          <w:b/>
          <w:bCs/>
          <w:color w:val="000000" w:themeColor="text1"/>
          <w:sz w:val="20"/>
          <w:szCs w:val="20"/>
          <w:u w:val="single"/>
        </w:rPr>
        <w:t>miesiąc</w:t>
      </w:r>
      <w:r w:rsidR="00AE2F51" w:rsidRPr="00E34651">
        <w:rPr>
          <w:rFonts w:ascii="Calibri" w:hAnsi="Calibri"/>
          <w:b/>
          <w:bCs/>
          <w:color w:val="000000" w:themeColor="text1"/>
          <w:sz w:val="20"/>
          <w:szCs w:val="20"/>
          <w:u w:val="single"/>
        </w:rPr>
        <w:t>y</w:t>
      </w:r>
      <w:proofErr w:type="spellEnd"/>
      <w:r w:rsidR="00010D00" w:rsidRPr="00E34651">
        <w:rPr>
          <w:rFonts w:ascii="Calibri" w:hAnsi="Calibri"/>
          <w:b/>
          <w:bCs/>
          <w:color w:val="000000" w:themeColor="text1"/>
          <w:sz w:val="20"/>
          <w:szCs w:val="20"/>
          <w:u w:val="single"/>
        </w:rPr>
        <w:t xml:space="preserve"> od dnia podpisania umowy</w:t>
      </w:r>
      <w:r w:rsidR="00900C44" w:rsidRPr="00E34651">
        <w:rPr>
          <w:rFonts w:ascii="Calibri" w:hAnsi="Calibri"/>
          <w:b/>
          <w:bCs/>
          <w:color w:val="000000" w:themeColor="text1"/>
          <w:sz w:val="20"/>
          <w:szCs w:val="20"/>
          <w:u w:val="single"/>
        </w:rPr>
        <w:t>.</w:t>
      </w:r>
    </w:p>
    <w:p w14:paraId="74EC4D3C" w14:textId="019A25E2" w:rsidR="00515920" w:rsidRPr="00E34651" w:rsidRDefault="00515920" w:rsidP="005F4A7D">
      <w:pPr>
        <w:spacing w:before="120" w:after="120" w:line="276" w:lineRule="auto"/>
        <w:jc w:val="both"/>
        <w:rPr>
          <w:rFonts w:ascii="Calibri" w:hAnsi="Calibri"/>
          <w:b/>
          <w:color w:val="000000" w:themeColor="text1"/>
          <w:sz w:val="20"/>
          <w:szCs w:val="20"/>
          <w:u w:val="single"/>
        </w:rPr>
      </w:pPr>
      <w:r w:rsidRPr="00E34651">
        <w:rPr>
          <w:rFonts w:ascii="Calibri" w:hAnsi="Calibri"/>
          <w:b/>
          <w:bCs/>
          <w:color w:val="000000" w:themeColor="text1"/>
          <w:sz w:val="20"/>
          <w:szCs w:val="20"/>
        </w:rPr>
        <w:tab/>
      </w:r>
      <w:r w:rsidRPr="00E34651">
        <w:rPr>
          <w:rFonts w:ascii="Calibri" w:hAnsi="Calibri"/>
          <w:b/>
          <w:bCs/>
          <w:color w:val="000000" w:themeColor="text1"/>
          <w:sz w:val="20"/>
          <w:szCs w:val="20"/>
        </w:rPr>
        <w:tab/>
      </w:r>
      <w:r w:rsidRPr="00E34651">
        <w:rPr>
          <w:rFonts w:ascii="Calibri" w:hAnsi="Calibri"/>
          <w:b/>
          <w:bCs/>
          <w:color w:val="000000" w:themeColor="text1"/>
          <w:sz w:val="20"/>
          <w:szCs w:val="20"/>
        </w:rPr>
        <w:tab/>
      </w:r>
      <w:r w:rsidRPr="00E34651">
        <w:rPr>
          <w:rFonts w:ascii="Calibri" w:hAnsi="Calibri"/>
          <w:b/>
          <w:bCs/>
          <w:color w:val="000000" w:themeColor="text1"/>
          <w:sz w:val="20"/>
          <w:szCs w:val="20"/>
        </w:rPr>
        <w:tab/>
      </w:r>
      <w:r w:rsidRPr="00E34651">
        <w:rPr>
          <w:rFonts w:ascii="Calibri" w:hAnsi="Calibri"/>
          <w:b/>
          <w:bCs/>
          <w:color w:val="000000" w:themeColor="text1"/>
          <w:sz w:val="20"/>
          <w:szCs w:val="20"/>
        </w:rPr>
        <w:tab/>
      </w:r>
      <w:r w:rsidRPr="00E34651">
        <w:rPr>
          <w:rFonts w:ascii="Calibri" w:hAnsi="Calibri"/>
          <w:b/>
          <w:bCs/>
          <w:color w:val="000000" w:themeColor="text1"/>
          <w:sz w:val="20"/>
          <w:szCs w:val="20"/>
        </w:rPr>
        <w:tab/>
      </w:r>
    </w:p>
    <w:p w14:paraId="3DD5863C" w14:textId="7DFA0DE1" w:rsidR="007E1A34" w:rsidRDefault="005F4A7D" w:rsidP="005F4A7D">
      <w:pPr>
        <w:spacing w:before="120" w:after="120" w:line="276" w:lineRule="auto"/>
        <w:jc w:val="both"/>
        <w:rPr>
          <w:rFonts w:ascii="Calibri" w:hAnsi="Calibri"/>
          <w:sz w:val="20"/>
          <w:szCs w:val="20"/>
        </w:rPr>
      </w:pPr>
      <w:r>
        <w:rPr>
          <w:rFonts w:ascii="Calibri" w:hAnsi="Calibri"/>
          <w:sz w:val="20"/>
          <w:szCs w:val="20"/>
        </w:rPr>
        <w:lastRenderedPageBreak/>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5C7EC76E" w:rsidR="005F4A7D" w:rsidRDefault="005F4A7D" w:rsidP="005629B8">
      <w:pPr>
        <w:autoSpaceDE w:val="0"/>
        <w:autoSpaceDN w:val="0"/>
        <w:adjustRightInd w:val="0"/>
        <w:jc w:val="both"/>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b/>
          <w:bCs/>
          <w:i/>
          <w:iCs/>
          <w:color w:val="000000"/>
          <w:sz w:val="20"/>
          <w:szCs w:val="20"/>
          <w:lang w:eastAsia="en-US"/>
        </w:rPr>
        <w:t>2 roboty budowlane polegające na budowie, przebudowie lub remoncie sieci wodociągowej lub kanalizacyjnej</w:t>
      </w:r>
      <w:r w:rsidR="005629B8">
        <w:rPr>
          <w:rFonts w:asciiTheme="minorHAnsi" w:eastAsiaTheme="minorHAnsi" w:hAnsiTheme="minorHAnsi" w:cstheme="minorHAnsi"/>
          <w:b/>
          <w:bCs/>
          <w:i/>
          <w:iCs/>
          <w:color w:val="000000"/>
          <w:sz w:val="20"/>
          <w:szCs w:val="20"/>
          <w:lang w:eastAsia="en-US"/>
        </w:rPr>
        <w:t>.</w:t>
      </w:r>
      <w:r>
        <w:rPr>
          <w:rFonts w:asciiTheme="minorHAnsi" w:eastAsiaTheme="minorHAnsi" w:hAnsiTheme="minorHAnsi" w:cstheme="minorHAnsi"/>
          <w:b/>
          <w:bCs/>
          <w:i/>
          <w:iCs/>
          <w:color w:val="000000"/>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E34651" w:rsidRDefault="005F4A7D" w:rsidP="005629B8">
      <w:pPr>
        <w:autoSpaceDE w:val="0"/>
        <w:autoSpaceDN w:val="0"/>
        <w:adjustRightInd w:val="0"/>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E34651">
        <w:rPr>
          <w:rFonts w:asciiTheme="minorHAnsi" w:eastAsiaTheme="minorHAnsi" w:hAnsiTheme="minorHAnsi" w:cstheme="minorHAnsi"/>
          <w:b/>
          <w:bCs/>
          <w:i/>
          <w:iCs/>
          <w:color w:val="000000" w:themeColor="text1"/>
          <w:sz w:val="20"/>
          <w:szCs w:val="20"/>
          <w:lang w:eastAsia="en-US"/>
        </w:rPr>
        <w:t xml:space="preserve">co najmniej jedną osobą posiadającą uprawnienia budowlane do kierowania robotami w specjalności instalacyjnej w zakresie sieci </w:t>
      </w:r>
      <w:r w:rsidR="005629B8" w:rsidRPr="00E34651">
        <w:rPr>
          <w:rFonts w:asciiTheme="minorHAnsi" w:eastAsiaTheme="minorHAnsi" w:hAnsiTheme="minorHAnsi" w:cstheme="minorHAnsi"/>
          <w:b/>
          <w:bCs/>
          <w:i/>
          <w:iCs/>
          <w:color w:val="000000" w:themeColor="text1"/>
          <w:sz w:val="20"/>
          <w:szCs w:val="20"/>
          <w:lang w:eastAsia="en-US"/>
        </w:rPr>
        <w:t>cieplnych, wentylacyjnych, gazowych, wodociągowych i kanalizacyjnych.</w:t>
      </w:r>
      <w:r w:rsidRPr="00E34651">
        <w:rPr>
          <w:rFonts w:asciiTheme="minorHAnsi" w:eastAsiaTheme="minorHAnsi" w:hAnsiTheme="minorHAnsi" w:cstheme="minorHAnsi"/>
          <w:b/>
          <w:bCs/>
          <w:i/>
          <w:iCs/>
          <w:color w:val="000000" w:themeColor="text1"/>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5.Jeżeli oferta wykonawców wspólnie ubiegających się o udzielenie zamówienia zostanie wybrana, Zamawiający będzie żądać przed zawarciem umowy w sprawie zamówienia publicznego, umowy regulującej </w:t>
      </w:r>
      <w:r>
        <w:rPr>
          <w:rFonts w:ascii="Calibri" w:eastAsiaTheme="minorHAnsi" w:hAnsi="Calibri" w:cs="Calibri"/>
          <w:color w:val="000000"/>
          <w:sz w:val="20"/>
          <w:szCs w:val="20"/>
          <w:shd w:val="clear" w:color="auto" w:fill="FFFFFF"/>
          <w:lang w:eastAsia="en-US"/>
        </w:rPr>
        <w:lastRenderedPageBreak/>
        <w:t>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t>
      </w:r>
      <w:r>
        <w:rPr>
          <w:rFonts w:asciiTheme="minorHAnsi" w:hAnsiTheme="minorHAnsi" w:cstheme="minorHAnsi"/>
          <w:sz w:val="20"/>
          <w:szCs w:val="20"/>
        </w:rPr>
        <w:lastRenderedPageBreak/>
        <w:t xml:space="preserve">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lastRenderedPageBreak/>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r w:rsidR="005629B8">
        <w:rPr>
          <w:rFonts w:asciiTheme="minorHAnsi" w:eastAsiaTheme="minorHAnsi" w:hAnsiTheme="minorHAnsi" w:cstheme="minorHAnsi"/>
          <w:b/>
          <w:bCs/>
          <w:color w:val="000000"/>
          <w:sz w:val="20"/>
          <w:szCs w:val="20"/>
          <w:lang w:eastAsia="en-US"/>
        </w:rPr>
        <w:t xml:space="preserve"> </w:t>
      </w:r>
      <w:r w:rsidR="005629B8" w:rsidRPr="00E34651">
        <w:rPr>
          <w:rFonts w:asciiTheme="minorHAnsi" w:eastAsiaTheme="minorHAnsi" w:hAnsiTheme="minorHAnsi" w:cstheme="minorHAnsi"/>
          <w:b/>
          <w:bCs/>
          <w:color w:val="000000" w:themeColor="text1"/>
          <w:sz w:val="20"/>
          <w:szCs w:val="20"/>
          <w:lang w:eastAsia="en-US"/>
        </w:rPr>
        <w:t>i kanalizacji sanitarnej</w:t>
      </w:r>
      <w:r w:rsidRPr="00E34651">
        <w:rPr>
          <w:rFonts w:asciiTheme="minorHAnsi" w:eastAsiaTheme="minorHAnsi" w:hAnsiTheme="minorHAnsi" w:cstheme="minorHAnsi"/>
          <w:b/>
          <w:bCs/>
          <w:color w:val="000000" w:themeColor="text1"/>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lastRenderedPageBreak/>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w:t>
      </w:r>
      <w:r>
        <w:rPr>
          <w:rFonts w:asciiTheme="minorHAnsi" w:eastAsiaTheme="minorHAnsi" w:hAnsiTheme="minorHAnsi" w:cstheme="minorHAnsi"/>
          <w:color w:val="000000"/>
          <w:sz w:val="20"/>
          <w:szCs w:val="20"/>
          <w:lang w:eastAsia="en-US"/>
        </w:rPr>
        <w:lastRenderedPageBreak/>
        <w:t>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lastRenderedPageBreak/>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3"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4BA7AE4B"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lastRenderedPageBreak/>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005FCD" w:rsidRPr="00005FCD">
        <w:rPr>
          <w:rStyle w:val="Teksttreci2"/>
          <w:rFonts w:ascii="Calibri" w:eastAsiaTheme="majorEastAsia" w:hAnsi="Calibri" w:cs="Calibri"/>
          <w:b/>
          <w:sz w:val="20"/>
          <w:szCs w:val="20"/>
        </w:rPr>
        <w:t>10.07</w:t>
      </w:r>
      <w:r w:rsidR="007F360D" w:rsidRPr="00005FCD">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24BD1D4F" w:rsidR="008E6077" w:rsidRPr="00E34651" w:rsidRDefault="008E6077" w:rsidP="008E6077">
      <w:pPr>
        <w:pStyle w:val="Akapitzlist"/>
        <w:keepNext/>
        <w:spacing w:before="120" w:line="276" w:lineRule="auto"/>
        <w:ind w:left="360"/>
        <w:jc w:val="both"/>
        <w:textAlignment w:val="baseline"/>
        <w:rPr>
          <w:rFonts w:ascii="Calibri" w:hAnsi="Calibri"/>
          <w:color w:val="000000" w:themeColor="text1"/>
          <w:sz w:val="20"/>
          <w:szCs w:val="20"/>
        </w:rPr>
      </w:pPr>
      <w:r w:rsidRPr="00E34651">
        <w:rPr>
          <w:rFonts w:ascii="Calibri" w:hAnsi="Calibri"/>
          <w:b/>
          <w:color w:val="000000" w:themeColor="text1"/>
          <w:sz w:val="20"/>
          <w:szCs w:val="20"/>
          <w:u w:val="single"/>
        </w:rPr>
        <w:t xml:space="preserve">Część A: </w:t>
      </w:r>
      <w:bookmarkStart w:id="1" w:name="_Hlk70666264"/>
      <w:r w:rsidR="00900C44" w:rsidRPr="00E34651">
        <w:rPr>
          <w:rFonts w:ascii="Calibri" w:hAnsi="Calibri"/>
          <w:b/>
          <w:color w:val="000000" w:themeColor="text1"/>
          <w:sz w:val="20"/>
          <w:szCs w:val="20"/>
          <w:u w:val="single"/>
        </w:rPr>
        <w:t>5</w:t>
      </w:r>
      <w:r w:rsidRPr="00E34651">
        <w:rPr>
          <w:rFonts w:ascii="Calibri" w:hAnsi="Calibri"/>
          <w:b/>
          <w:color w:val="000000" w:themeColor="text1"/>
          <w:sz w:val="20"/>
          <w:szCs w:val="20"/>
          <w:u w:val="single"/>
        </w:rPr>
        <w:t xml:space="preserve">.000,00 </w:t>
      </w:r>
      <w:r w:rsidRPr="00E34651">
        <w:rPr>
          <w:rFonts w:ascii="Calibri" w:hAnsi="Calibri"/>
          <w:b/>
          <w:bCs/>
          <w:color w:val="000000" w:themeColor="text1"/>
          <w:sz w:val="20"/>
          <w:szCs w:val="20"/>
          <w:u w:val="single"/>
        </w:rPr>
        <w:t xml:space="preserve">zł </w:t>
      </w:r>
      <w:r w:rsidRPr="00E34651">
        <w:rPr>
          <w:rFonts w:ascii="Calibri" w:hAnsi="Calibri"/>
          <w:bCs/>
          <w:color w:val="000000" w:themeColor="text1"/>
          <w:sz w:val="20"/>
          <w:szCs w:val="20"/>
        </w:rPr>
        <w:t xml:space="preserve">(słownie złotych: </w:t>
      </w:r>
      <w:r w:rsidR="00900C44" w:rsidRPr="00E34651">
        <w:rPr>
          <w:rFonts w:ascii="Calibri" w:hAnsi="Calibri"/>
          <w:bCs/>
          <w:color w:val="000000" w:themeColor="text1"/>
          <w:sz w:val="20"/>
          <w:szCs w:val="20"/>
        </w:rPr>
        <w:t>pięć</w:t>
      </w:r>
      <w:r w:rsidR="003B2283" w:rsidRPr="00E34651">
        <w:rPr>
          <w:rFonts w:ascii="Calibri" w:hAnsi="Calibri"/>
          <w:bCs/>
          <w:color w:val="000000" w:themeColor="text1"/>
          <w:sz w:val="20"/>
          <w:szCs w:val="20"/>
        </w:rPr>
        <w:t xml:space="preserve"> tysi</w:t>
      </w:r>
      <w:r w:rsidR="00900C44" w:rsidRPr="00E34651">
        <w:rPr>
          <w:rFonts w:ascii="Calibri" w:hAnsi="Calibri"/>
          <w:bCs/>
          <w:color w:val="000000" w:themeColor="text1"/>
          <w:sz w:val="20"/>
          <w:szCs w:val="20"/>
        </w:rPr>
        <w:t>ę</w:t>
      </w:r>
      <w:r w:rsidR="003B2283" w:rsidRPr="00E34651">
        <w:rPr>
          <w:rFonts w:ascii="Calibri" w:hAnsi="Calibri"/>
          <w:bCs/>
          <w:color w:val="000000" w:themeColor="text1"/>
          <w:sz w:val="20"/>
          <w:szCs w:val="20"/>
        </w:rPr>
        <w:t>c</w:t>
      </w:r>
      <w:r w:rsidR="00900C44" w:rsidRPr="00E34651">
        <w:rPr>
          <w:rFonts w:ascii="Calibri" w:hAnsi="Calibri"/>
          <w:bCs/>
          <w:color w:val="000000" w:themeColor="text1"/>
          <w:sz w:val="20"/>
          <w:szCs w:val="20"/>
        </w:rPr>
        <w:t>y</w:t>
      </w:r>
      <w:r w:rsidR="003B2283" w:rsidRPr="00E34651">
        <w:rPr>
          <w:rFonts w:ascii="Calibri" w:hAnsi="Calibri"/>
          <w:bCs/>
          <w:color w:val="000000" w:themeColor="text1"/>
          <w:sz w:val="20"/>
          <w:szCs w:val="20"/>
        </w:rPr>
        <w:t xml:space="preserve"> złotych</w:t>
      </w:r>
      <w:r w:rsidRPr="00E34651">
        <w:rPr>
          <w:rFonts w:ascii="Calibri" w:hAnsi="Calibri"/>
          <w:color w:val="000000" w:themeColor="text1"/>
          <w:sz w:val="20"/>
          <w:szCs w:val="20"/>
        </w:rPr>
        <w:t>)</w:t>
      </w:r>
      <w:bookmarkEnd w:id="1"/>
      <w:r w:rsidRPr="00E34651">
        <w:rPr>
          <w:rFonts w:ascii="Calibri" w:hAnsi="Calibri"/>
          <w:color w:val="000000" w:themeColor="text1"/>
          <w:sz w:val="20"/>
          <w:szCs w:val="20"/>
        </w:rPr>
        <w:t>.</w:t>
      </w:r>
    </w:p>
    <w:p w14:paraId="1D8F87E2" w14:textId="3F8366CA" w:rsidR="008E6077" w:rsidRPr="00E34651" w:rsidRDefault="008E6077" w:rsidP="008E6077">
      <w:pPr>
        <w:pStyle w:val="Akapitzlist"/>
        <w:keepNext/>
        <w:spacing w:before="120" w:line="276" w:lineRule="auto"/>
        <w:ind w:left="360"/>
        <w:jc w:val="both"/>
        <w:textAlignment w:val="baseline"/>
        <w:rPr>
          <w:rFonts w:ascii="Calibri" w:hAnsi="Calibri"/>
          <w:color w:val="000000" w:themeColor="text1"/>
          <w:sz w:val="20"/>
          <w:szCs w:val="20"/>
        </w:rPr>
      </w:pPr>
      <w:r w:rsidRPr="00E34651">
        <w:rPr>
          <w:rFonts w:ascii="Calibri" w:hAnsi="Calibri"/>
          <w:b/>
          <w:color w:val="000000" w:themeColor="text1"/>
          <w:sz w:val="20"/>
          <w:szCs w:val="20"/>
          <w:u w:val="single"/>
        </w:rPr>
        <w:t xml:space="preserve">Część B: </w:t>
      </w:r>
      <w:r w:rsidR="003155D9" w:rsidRPr="00E34651">
        <w:rPr>
          <w:rFonts w:ascii="Calibri" w:hAnsi="Calibri"/>
          <w:b/>
          <w:color w:val="000000" w:themeColor="text1"/>
          <w:sz w:val="20"/>
          <w:szCs w:val="20"/>
          <w:u w:val="single"/>
        </w:rPr>
        <w:t xml:space="preserve">5.000,00 </w:t>
      </w:r>
      <w:r w:rsidR="003155D9" w:rsidRPr="00E34651">
        <w:rPr>
          <w:rFonts w:ascii="Calibri" w:hAnsi="Calibri"/>
          <w:b/>
          <w:bCs/>
          <w:color w:val="000000" w:themeColor="text1"/>
          <w:sz w:val="20"/>
          <w:szCs w:val="20"/>
          <w:u w:val="single"/>
        </w:rPr>
        <w:t xml:space="preserve">zł </w:t>
      </w:r>
      <w:r w:rsidR="003155D9" w:rsidRPr="00E34651">
        <w:rPr>
          <w:rFonts w:ascii="Calibri" w:hAnsi="Calibri"/>
          <w:bCs/>
          <w:color w:val="000000" w:themeColor="text1"/>
          <w:sz w:val="20"/>
          <w:szCs w:val="20"/>
        </w:rPr>
        <w:t>(słownie złotych: pięć tysięcy złotych</w:t>
      </w:r>
      <w:r w:rsidR="003155D9" w:rsidRPr="00E34651">
        <w:rPr>
          <w:rFonts w:ascii="Calibri" w:hAnsi="Calibri"/>
          <w:color w:val="000000" w:themeColor="text1"/>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065352D0" w:rsidR="005F4A7D" w:rsidRPr="00E34651" w:rsidRDefault="005F4A7D" w:rsidP="009E7C7B">
      <w:pPr>
        <w:spacing w:line="276" w:lineRule="auto"/>
        <w:ind w:left="330"/>
        <w:jc w:val="both"/>
        <w:rPr>
          <w:rFonts w:ascii="Calibri" w:hAnsi="Calibri"/>
          <w:b/>
          <w:color w:val="000000" w:themeColor="text1"/>
          <w:sz w:val="20"/>
          <w:szCs w:val="20"/>
        </w:rPr>
      </w:pPr>
      <w:r>
        <w:rPr>
          <w:rFonts w:ascii="Calibri" w:hAnsi="Calibri"/>
          <w:b/>
          <w:spacing w:val="4"/>
          <w:sz w:val="20"/>
          <w:szCs w:val="20"/>
        </w:rPr>
        <w:t xml:space="preserve">z dopiskiem: </w:t>
      </w:r>
      <w:r w:rsidR="003155D9" w:rsidRPr="00E34651">
        <w:rPr>
          <w:rFonts w:ascii="Calibri" w:hAnsi="Calibri"/>
          <w:b/>
          <w:color w:val="000000" w:themeColor="text1"/>
          <w:sz w:val="20"/>
          <w:szCs w:val="20"/>
        </w:rPr>
        <w:t xml:space="preserve">Budowa sieci wodociągowej i kanalizacji sanitarnej w miejscowości Niemcz gm. Osielsko </w:t>
      </w:r>
      <w:r w:rsidR="002545D7" w:rsidRPr="00E34651">
        <w:rPr>
          <w:rFonts w:ascii="Calibri" w:hAnsi="Calibri"/>
          <w:b/>
          <w:color w:val="000000" w:themeColor="text1"/>
          <w:sz w:val="20"/>
          <w:szCs w:val="20"/>
        </w:rPr>
        <w:t xml:space="preserve">(część A, B) </w:t>
      </w:r>
      <w:r w:rsidRPr="00E34651">
        <w:rPr>
          <w:rFonts w:ascii="Calibri" w:hAnsi="Calibri"/>
          <w:b/>
          <w:color w:val="000000" w:themeColor="text1"/>
          <w:sz w:val="20"/>
          <w:szCs w:val="20"/>
        </w:rPr>
        <w:t xml:space="preserve"> nr sprawy: </w:t>
      </w:r>
      <w:r w:rsidRPr="00E34651">
        <w:rPr>
          <w:rFonts w:ascii="Calibri" w:hAnsi="Calibri"/>
          <w:b/>
          <w:bCs/>
          <w:color w:val="000000" w:themeColor="text1"/>
          <w:sz w:val="20"/>
          <w:szCs w:val="20"/>
        </w:rPr>
        <w:t>GZK.271.</w:t>
      </w:r>
      <w:r w:rsidR="003155D9" w:rsidRPr="00E34651">
        <w:rPr>
          <w:rFonts w:ascii="Calibri" w:hAnsi="Calibri"/>
          <w:b/>
          <w:bCs/>
          <w:color w:val="000000" w:themeColor="text1"/>
          <w:sz w:val="20"/>
          <w:szCs w:val="20"/>
        </w:rPr>
        <w:t>5</w:t>
      </w:r>
      <w:r w:rsidRPr="00E34651">
        <w:rPr>
          <w:rFonts w:ascii="Calibri" w:hAnsi="Calibri"/>
          <w:b/>
          <w:bCs/>
          <w:color w:val="000000" w:themeColor="text1"/>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lastRenderedPageBreak/>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w:t>
      </w:r>
      <w:r w:rsidRPr="003A1CD0">
        <w:rPr>
          <w:rFonts w:ascii="Calibri" w:eastAsia="SimSun" w:hAnsi="Calibri" w:cs="Calibri"/>
          <w:color w:val="000000"/>
          <w:sz w:val="20"/>
          <w:szCs w:val="20"/>
          <w:lang w:eastAsia="zh-CN" w:bidi="ar"/>
        </w:rPr>
        <w:lastRenderedPageBreak/>
        <w:t xml:space="preserve">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57FE1DDF" w:rsidR="005F4A7D" w:rsidRPr="00311BA8" w:rsidRDefault="005F4A7D" w:rsidP="00947760">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w:t>
      </w:r>
      <w:r w:rsidRPr="00947760">
        <w:rPr>
          <w:rFonts w:asciiTheme="minorHAnsi" w:eastAsia="SimSun" w:hAnsiTheme="minorHAnsi" w:cstheme="minorHAnsi"/>
          <w:color w:val="000000"/>
          <w:sz w:val="20"/>
          <w:szCs w:val="20"/>
          <w:lang w:eastAsia="zh-CN" w:bidi="ar"/>
        </w:rPr>
        <w:t xml:space="preserve">: </w:t>
      </w:r>
      <w:hyperlink r:id="rId19" w:history="1">
        <w:r w:rsidR="00947760" w:rsidRPr="006806AA">
          <w:rPr>
            <w:rStyle w:val="Hipercze"/>
            <w:rFonts w:asciiTheme="minorHAnsi" w:hAnsiTheme="minorHAnsi" w:cstheme="minorHAnsi"/>
            <w:sz w:val="20"/>
            <w:szCs w:val="20"/>
          </w:rPr>
          <w:t>https://miniportal.uzp.gov.pl/Postepowania/f5e68449-bb82-4655-af49-72b6abc37afb</w:t>
        </w:r>
      </w:hyperlink>
      <w:r w:rsidR="00947760">
        <w:rPr>
          <w:rFonts w:asciiTheme="minorHAnsi" w:hAnsiTheme="minorHAnsi" w:cstheme="minorHAnsi"/>
          <w:sz w:val="20"/>
          <w:szCs w:val="20"/>
        </w:rPr>
        <w:t xml:space="preserve"> </w:t>
      </w:r>
      <w:r w:rsidR="00311BA8" w:rsidRPr="00947760">
        <w:rPr>
          <w:rFonts w:asciiTheme="minorHAnsi" w:eastAsia="SimSun" w:hAnsiTheme="minorHAnsi" w:cstheme="minorHAns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71144574" w:rsidR="005F4A7D" w:rsidRPr="003A1CD0" w:rsidRDefault="00947760" w:rsidP="005F4A7D">
      <w:pPr>
        <w:ind w:leftChars="99" w:left="238"/>
        <w:jc w:val="both"/>
        <w:rPr>
          <w:rFonts w:ascii="Calibri" w:eastAsia="SimSun" w:hAnsi="Calibri" w:cs="Calibri"/>
          <w:color w:val="000000"/>
          <w:sz w:val="20"/>
          <w:szCs w:val="20"/>
          <w:lang w:eastAsia="zh-CN" w:bidi="ar"/>
        </w:rPr>
      </w:pPr>
      <w:hyperlink r:id="rId20" w:history="1">
        <w:r w:rsidRPr="006806AA">
          <w:rPr>
            <w:rStyle w:val="Hipercze"/>
            <w:rFonts w:asciiTheme="minorHAnsi" w:hAnsiTheme="minorHAnsi" w:cstheme="minorHAnsi"/>
            <w:sz w:val="20"/>
            <w:szCs w:val="20"/>
          </w:rPr>
          <w:t>https://miniportal.uzp.gov.pl/Postepowania/f5e68449-bb82-4655-af49-72b6abc37afb</w:t>
        </w:r>
      </w:hyperlink>
      <w:r>
        <w:rPr>
          <w:rFonts w:asciiTheme="minorHAnsi" w:hAnsiTheme="minorHAnsi" w:cstheme="minorHAnsi"/>
          <w:sz w:val="20"/>
          <w:szCs w:val="20"/>
        </w:rPr>
        <w:t xml:space="preserve"> </w:t>
      </w:r>
      <w:bookmarkStart w:id="2" w:name="_GoBack"/>
      <w:bookmarkEnd w:id="2"/>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 xml:space="preserve">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w:t>
      </w:r>
      <w:r>
        <w:rPr>
          <w:rStyle w:val="Teksttreci2"/>
          <w:rFonts w:ascii="Calibri" w:hAnsi="Calibri" w:cs="Calibri"/>
          <w:color w:val="000000"/>
          <w:sz w:val="20"/>
          <w:szCs w:val="20"/>
        </w:rPr>
        <w:lastRenderedPageBreak/>
        <w:t>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44FADDE7" w:rsidR="005F4A7D" w:rsidRPr="00E34651" w:rsidRDefault="005F4A7D" w:rsidP="005F4A7D">
      <w:pPr>
        <w:numPr>
          <w:ilvl w:val="2"/>
          <w:numId w:val="18"/>
        </w:numPr>
        <w:spacing w:before="120"/>
        <w:ind w:left="709" w:hanging="142"/>
        <w:jc w:val="both"/>
        <w:rPr>
          <w:rFonts w:ascii="Calibri" w:hAnsi="Calibri" w:cs="Calibri"/>
          <w:color w:val="000000" w:themeColor="text1"/>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D0097D" w:rsidRPr="00E34651">
        <w:rPr>
          <w:rFonts w:ascii="Calibri" w:eastAsiaTheme="minorHAnsi" w:hAnsi="Calibri" w:cs="Calibri"/>
          <w:b/>
          <w:color w:val="000000" w:themeColor="text1"/>
          <w:sz w:val="20"/>
          <w:szCs w:val="20"/>
          <w:lang w:eastAsia="en-US"/>
        </w:rPr>
        <w:t>1</w:t>
      </w:r>
      <w:r w:rsidR="00E34651" w:rsidRPr="00E34651">
        <w:rPr>
          <w:rFonts w:ascii="Calibri" w:eastAsiaTheme="minorHAnsi" w:hAnsi="Calibri" w:cs="Calibri"/>
          <w:b/>
          <w:color w:val="000000" w:themeColor="text1"/>
          <w:sz w:val="20"/>
          <w:szCs w:val="20"/>
          <w:lang w:eastAsia="en-US"/>
        </w:rPr>
        <w:t>1</w:t>
      </w:r>
      <w:r w:rsidR="007F360D" w:rsidRPr="00E34651">
        <w:rPr>
          <w:rFonts w:ascii="Calibri" w:eastAsiaTheme="minorHAnsi" w:hAnsi="Calibri" w:cs="Calibri"/>
          <w:b/>
          <w:color w:val="000000" w:themeColor="text1"/>
          <w:sz w:val="20"/>
          <w:szCs w:val="20"/>
          <w:lang w:eastAsia="en-US"/>
        </w:rPr>
        <w:t>.</w:t>
      </w:r>
      <w:r w:rsidR="000452B6" w:rsidRPr="00E34651">
        <w:rPr>
          <w:rFonts w:ascii="Calibri" w:eastAsiaTheme="minorHAnsi" w:hAnsi="Calibri" w:cs="Calibri"/>
          <w:b/>
          <w:color w:val="000000" w:themeColor="text1"/>
          <w:sz w:val="20"/>
          <w:szCs w:val="20"/>
          <w:lang w:eastAsia="en-US"/>
        </w:rPr>
        <w:t>0</w:t>
      </w:r>
      <w:r w:rsidR="00E34651" w:rsidRPr="00E34651">
        <w:rPr>
          <w:rFonts w:ascii="Calibri" w:eastAsiaTheme="minorHAnsi" w:hAnsi="Calibri" w:cs="Calibri"/>
          <w:b/>
          <w:color w:val="000000" w:themeColor="text1"/>
          <w:sz w:val="20"/>
          <w:szCs w:val="20"/>
          <w:lang w:eastAsia="en-US"/>
        </w:rPr>
        <w:t>6</w:t>
      </w:r>
      <w:r w:rsidR="007F360D" w:rsidRPr="00E34651">
        <w:rPr>
          <w:rFonts w:ascii="Calibri" w:eastAsiaTheme="minorHAnsi" w:hAnsi="Calibri" w:cs="Calibri"/>
          <w:b/>
          <w:color w:val="000000" w:themeColor="text1"/>
          <w:sz w:val="20"/>
          <w:szCs w:val="20"/>
          <w:lang w:eastAsia="en-US"/>
        </w:rPr>
        <w:t>.2021</w:t>
      </w:r>
      <w:r w:rsidRPr="00E34651">
        <w:rPr>
          <w:rFonts w:ascii="Calibri" w:hAnsi="Calibri" w:cs="Calibri"/>
          <w:b/>
          <w:color w:val="000000" w:themeColor="text1"/>
          <w:sz w:val="20"/>
          <w:szCs w:val="20"/>
        </w:rPr>
        <w:t xml:space="preserve"> r. do godz. </w:t>
      </w:r>
      <w:r w:rsidR="007F360D" w:rsidRPr="00E34651">
        <w:rPr>
          <w:rFonts w:ascii="Calibri" w:hAnsi="Calibri" w:cs="Calibri"/>
          <w:b/>
          <w:color w:val="000000" w:themeColor="text1"/>
          <w:sz w:val="20"/>
          <w:szCs w:val="20"/>
        </w:rPr>
        <w:t>10:00</w:t>
      </w:r>
    </w:p>
    <w:p w14:paraId="2392F287" w14:textId="77777777" w:rsidR="005F4A7D" w:rsidRPr="00E34651" w:rsidRDefault="005F4A7D" w:rsidP="005F4A7D">
      <w:pPr>
        <w:numPr>
          <w:ilvl w:val="2"/>
          <w:numId w:val="18"/>
        </w:numPr>
        <w:spacing w:before="120"/>
        <w:ind w:left="709" w:hanging="142"/>
        <w:jc w:val="both"/>
        <w:rPr>
          <w:rFonts w:ascii="Calibri" w:hAnsi="Calibri" w:cs="Calibri"/>
          <w:color w:val="000000" w:themeColor="text1"/>
          <w:sz w:val="20"/>
          <w:szCs w:val="20"/>
        </w:rPr>
      </w:pPr>
      <w:r w:rsidRPr="00E34651">
        <w:rPr>
          <w:rFonts w:ascii="Calibri" w:hAnsi="Calibri" w:cs="Calibri"/>
          <w:b/>
          <w:color w:val="000000" w:themeColor="text1"/>
          <w:sz w:val="20"/>
          <w:szCs w:val="20"/>
        </w:rPr>
        <w:t>Zmiana lub wycofanie oferty</w:t>
      </w:r>
      <w:r w:rsidRPr="00E34651">
        <w:rPr>
          <w:rFonts w:ascii="Calibri" w:hAnsi="Calibri" w:cs="Calibri"/>
          <w:color w:val="000000" w:themeColor="text1"/>
          <w:sz w:val="20"/>
          <w:szCs w:val="20"/>
        </w:rPr>
        <w:t xml:space="preserve"> po upływie terminu składania ofert są nieskuteczne.</w:t>
      </w:r>
    </w:p>
    <w:p w14:paraId="576EE6D4" w14:textId="77777777" w:rsidR="005F4A7D" w:rsidRPr="00E34651" w:rsidRDefault="005F4A7D" w:rsidP="005F4A7D">
      <w:pPr>
        <w:numPr>
          <w:ilvl w:val="2"/>
          <w:numId w:val="18"/>
        </w:numPr>
        <w:spacing w:before="120"/>
        <w:ind w:left="709" w:hanging="142"/>
        <w:jc w:val="both"/>
        <w:rPr>
          <w:rFonts w:ascii="Calibri" w:hAnsi="Calibri" w:cs="Calibri"/>
          <w:color w:val="000000" w:themeColor="text1"/>
          <w:sz w:val="20"/>
          <w:szCs w:val="20"/>
        </w:rPr>
      </w:pPr>
      <w:r w:rsidRPr="00E34651">
        <w:rPr>
          <w:rFonts w:ascii="Calibri" w:hAnsi="Calibri" w:cs="Calibri"/>
          <w:color w:val="000000" w:themeColor="text1"/>
          <w:sz w:val="20"/>
          <w:szCs w:val="20"/>
        </w:rPr>
        <w:t xml:space="preserve">Zgodnie z art. 222 ust. 4 </w:t>
      </w:r>
      <w:proofErr w:type="spellStart"/>
      <w:r w:rsidRPr="00E34651">
        <w:rPr>
          <w:rFonts w:ascii="Calibri" w:hAnsi="Calibri" w:cs="Calibri"/>
          <w:color w:val="000000" w:themeColor="text1"/>
          <w:sz w:val="20"/>
          <w:szCs w:val="20"/>
        </w:rPr>
        <w:t>Pzp</w:t>
      </w:r>
      <w:proofErr w:type="spellEnd"/>
      <w:r w:rsidRPr="00E34651">
        <w:rPr>
          <w:rFonts w:ascii="Calibri" w:hAnsi="Calibri" w:cs="Calibri"/>
          <w:color w:val="000000" w:themeColor="text1"/>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E34651" w:rsidRDefault="005F4A7D" w:rsidP="005F4A7D">
      <w:pPr>
        <w:numPr>
          <w:ilvl w:val="0"/>
          <w:numId w:val="18"/>
        </w:numPr>
        <w:spacing w:before="120"/>
        <w:ind w:left="360"/>
        <w:jc w:val="both"/>
        <w:rPr>
          <w:rFonts w:ascii="Calibri" w:hAnsi="Calibri" w:cs="Calibri"/>
          <w:color w:val="000000" w:themeColor="text1"/>
          <w:sz w:val="20"/>
          <w:szCs w:val="20"/>
        </w:rPr>
      </w:pPr>
      <w:r w:rsidRPr="00E34651">
        <w:rPr>
          <w:rFonts w:ascii="Calibri" w:hAnsi="Calibri" w:cs="Calibri"/>
          <w:b/>
          <w:color w:val="000000" w:themeColor="text1"/>
          <w:sz w:val="20"/>
          <w:szCs w:val="20"/>
        </w:rPr>
        <w:t>Termin otwarcia ofert</w:t>
      </w:r>
    </w:p>
    <w:p w14:paraId="3C7ABF6B" w14:textId="4C527671"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E34651">
        <w:rPr>
          <w:rFonts w:ascii="Calibri" w:eastAsiaTheme="minorHAnsi" w:hAnsi="Calibri" w:cs="Calibri"/>
          <w:b/>
          <w:bCs/>
          <w:color w:val="000000" w:themeColor="text1"/>
          <w:sz w:val="20"/>
          <w:szCs w:val="20"/>
          <w:lang w:eastAsia="en-US"/>
        </w:rPr>
        <w:t xml:space="preserve">Otwarcie ofert </w:t>
      </w:r>
      <w:r w:rsidRPr="00E34651">
        <w:rPr>
          <w:rFonts w:ascii="Calibri" w:eastAsiaTheme="minorHAnsi" w:hAnsi="Calibri" w:cs="Calibri"/>
          <w:color w:val="000000" w:themeColor="text1"/>
          <w:sz w:val="20"/>
          <w:szCs w:val="20"/>
          <w:lang w:eastAsia="en-US"/>
        </w:rPr>
        <w:t xml:space="preserve">nastąpi w dniu </w:t>
      </w:r>
      <w:r w:rsidR="00D0097D" w:rsidRPr="00E34651">
        <w:rPr>
          <w:rFonts w:ascii="Calibri" w:eastAsiaTheme="minorHAnsi" w:hAnsi="Calibri" w:cs="Calibri"/>
          <w:b/>
          <w:color w:val="000000" w:themeColor="text1"/>
          <w:sz w:val="20"/>
          <w:szCs w:val="20"/>
          <w:lang w:eastAsia="en-US"/>
        </w:rPr>
        <w:t>1</w:t>
      </w:r>
      <w:r w:rsidR="00E34651" w:rsidRPr="00E34651">
        <w:rPr>
          <w:rFonts w:ascii="Calibri" w:eastAsiaTheme="minorHAnsi" w:hAnsi="Calibri" w:cs="Calibri"/>
          <w:b/>
          <w:color w:val="000000" w:themeColor="text1"/>
          <w:sz w:val="20"/>
          <w:szCs w:val="20"/>
          <w:lang w:eastAsia="en-US"/>
        </w:rPr>
        <w:t>1</w:t>
      </w:r>
      <w:r w:rsidR="007F360D" w:rsidRPr="00E34651">
        <w:rPr>
          <w:rFonts w:ascii="Calibri" w:eastAsiaTheme="minorHAnsi" w:hAnsi="Calibri" w:cs="Calibri"/>
          <w:b/>
          <w:color w:val="000000" w:themeColor="text1"/>
          <w:sz w:val="20"/>
          <w:szCs w:val="20"/>
          <w:lang w:eastAsia="en-US"/>
        </w:rPr>
        <w:t>.</w:t>
      </w:r>
      <w:r w:rsidR="000452B6" w:rsidRPr="00E34651">
        <w:rPr>
          <w:rFonts w:ascii="Calibri" w:eastAsiaTheme="minorHAnsi" w:hAnsi="Calibri" w:cs="Calibri"/>
          <w:b/>
          <w:color w:val="000000" w:themeColor="text1"/>
          <w:sz w:val="20"/>
          <w:szCs w:val="20"/>
          <w:lang w:eastAsia="en-US"/>
        </w:rPr>
        <w:t>0</w:t>
      </w:r>
      <w:r w:rsidR="00E34651" w:rsidRPr="00E34651">
        <w:rPr>
          <w:rFonts w:ascii="Calibri" w:eastAsiaTheme="minorHAnsi" w:hAnsi="Calibri" w:cs="Calibri"/>
          <w:b/>
          <w:color w:val="000000" w:themeColor="text1"/>
          <w:sz w:val="20"/>
          <w:szCs w:val="20"/>
          <w:lang w:eastAsia="en-US"/>
        </w:rPr>
        <w:t>6</w:t>
      </w:r>
      <w:r w:rsidR="007F360D" w:rsidRPr="00E34651">
        <w:rPr>
          <w:rFonts w:ascii="Calibri" w:eastAsiaTheme="minorHAnsi" w:hAnsi="Calibri" w:cs="Calibri"/>
          <w:b/>
          <w:color w:val="000000" w:themeColor="text1"/>
          <w:sz w:val="20"/>
          <w:szCs w:val="20"/>
          <w:lang w:eastAsia="en-US"/>
        </w:rPr>
        <w:t>.2021</w:t>
      </w:r>
      <w:r w:rsidRPr="00E34651">
        <w:rPr>
          <w:rFonts w:ascii="Calibri" w:eastAsiaTheme="minorHAnsi" w:hAnsi="Calibri" w:cs="Calibri"/>
          <w:b/>
          <w:color w:val="000000" w:themeColor="text1"/>
          <w:sz w:val="20"/>
          <w:szCs w:val="20"/>
          <w:lang w:eastAsia="en-US"/>
        </w:rPr>
        <w:t xml:space="preserve"> r. o </w:t>
      </w:r>
      <w:r>
        <w:rPr>
          <w:rFonts w:ascii="Calibri" w:eastAsiaTheme="minorHAnsi" w:hAnsi="Calibri" w:cs="Calibri"/>
          <w:b/>
          <w:sz w:val="20"/>
          <w:szCs w:val="20"/>
          <w:lang w:eastAsia="en-US"/>
        </w:rPr>
        <w:t>godz.</w:t>
      </w:r>
      <w:r w:rsidR="007F360D">
        <w:rPr>
          <w:rFonts w:ascii="Calibri" w:eastAsiaTheme="minorHAnsi" w:hAnsi="Calibri" w:cs="Calibri"/>
          <w:b/>
          <w:sz w:val="20"/>
          <w:szCs w:val="20"/>
          <w:lang w:eastAsia="en-US"/>
        </w:rPr>
        <w:t xml:space="preserve"> 1</w:t>
      </w:r>
      <w:r w:rsidR="00E34651">
        <w:rPr>
          <w:rFonts w:ascii="Calibri" w:eastAsiaTheme="minorHAnsi" w:hAnsi="Calibri" w:cs="Calibri"/>
          <w:b/>
          <w:sz w:val="20"/>
          <w:szCs w:val="20"/>
          <w:lang w:eastAsia="en-US"/>
        </w:rPr>
        <w:t>1</w:t>
      </w:r>
      <w:r w:rsidR="007F360D">
        <w:rPr>
          <w:rFonts w:ascii="Calibri" w:eastAsiaTheme="minorHAnsi" w:hAnsi="Calibri" w:cs="Calibri"/>
          <w:b/>
          <w:sz w:val="20"/>
          <w:szCs w:val="20"/>
          <w:lang w:eastAsia="en-US"/>
        </w:rPr>
        <w:t>:</w:t>
      </w:r>
      <w:r w:rsidR="00E34651">
        <w:rPr>
          <w:rFonts w:ascii="Calibri" w:eastAsiaTheme="minorHAnsi" w:hAnsi="Calibri" w:cs="Calibri"/>
          <w:b/>
          <w:sz w:val="20"/>
          <w:szCs w:val="20"/>
          <w:lang w:eastAsia="en-US"/>
        </w:rPr>
        <w:t>3</w:t>
      </w:r>
      <w:r w:rsidR="007F360D">
        <w:rPr>
          <w:rFonts w:ascii="Calibri" w:eastAsiaTheme="minorHAnsi" w:hAnsi="Calibri" w:cs="Calibri"/>
          <w:b/>
          <w:sz w:val="20"/>
          <w:szCs w:val="20"/>
          <w:lang w:eastAsia="en-US"/>
        </w:rPr>
        <w:t>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1296A1DF" w:rsidR="007F360D" w:rsidRDefault="005F4A7D" w:rsidP="00E34651">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lastRenderedPageBreak/>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3DA81971" w14:textId="37CCB32A"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lastRenderedPageBreak/>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lastRenderedPageBreak/>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01F304AB" w:rsidR="00BD26D5" w:rsidRPr="00E34651" w:rsidRDefault="003155D9" w:rsidP="000452B6">
      <w:pPr>
        <w:pStyle w:val="Akapitzlist"/>
        <w:ind w:left="360"/>
        <w:rPr>
          <w:rFonts w:ascii="Calibri" w:hAnsi="Calibri" w:cs="Calibri"/>
          <w:b/>
          <w:color w:val="000000" w:themeColor="text1"/>
          <w:sz w:val="20"/>
          <w:szCs w:val="20"/>
        </w:rPr>
      </w:pPr>
      <w:r w:rsidRPr="00E34651">
        <w:rPr>
          <w:rFonts w:ascii="Calibri" w:hAnsi="Calibri" w:cs="Calibri"/>
          <w:b/>
          <w:color w:val="000000" w:themeColor="text1"/>
          <w:sz w:val="20"/>
          <w:szCs w:val="20"/>
        </w:rPr>
        <w:t>Budowa sieci wodociągowej i kanalizacji sanitarnej w miejscowości Niemcz gm. Osielsko</w:t>
      </w:r>
      <w:r w:rsidR="00BD26D5" w:rsidRPr="00E34651">
        <w:rPr>
          <w:rFonts w:ascii="Calibri" w:hAnsi="Calibri" w:cs="Calibri"/>
          <w:b/>
          <w:color w:val="000000" w:themeColor="text1"/>
          <w:sz w:val="20"/>
          <w:szCs w:val="20"/>
        </w:rPr>
        <w:t>.</w:t>
      </w:r>
    </w:p>
    <w:p w14:paraId="6CB9F9F0" w14:textId="0A6B3B3B" w:rsidR="005F4A7D" w:rsidRPr="00E34651" w:rsidRDefault="005F4A7D" w:rsidP="000452B6">
      <w:pPr>
        <w:ind w:left="357"/>
        <w:jc w:val="both"/>
        <w:rPr>
          <w:rFonts w:ascii="Calibri" w:hAnsi="Calibri"/>
          <w:b/>
          <w:bCs/>
          <w:color w:val="000000" w:themeColor="text1"/>
          <w:sz w:val="20"/>
          <w:szCs w:val="20"/>
        </w:rPr>
      </w:pPr>
      <w:r w:rsidRPr="00E34651">
        <w:rPr>
          <w:rFonts w:ascii="Calibri" w:hAnsi="Calibri"/>
          <w:b/>
          <w:color w:val="000000" w:themeColor="text1"/>
          <w:sz w:val="20"/>
          <w:szCs w:val="20"/>
        </w:rPr>
        <w:t xml:space="preserve">nr sprawy: </w:t>
      </w:r>
      <w:r w:rsidRPr="00E34651">
        <w:rPr>
          <w:rFonts w:ascii="Calibri" w:hAnsi="Calibri"/>
          <w:b/>
          <w:bCs/>
          <w:color w:val="000000" w:themeColor="text1"/>
          <w:sz w:val="20"/>
          <w:szCs w:val="20"/>
        </w:rPr>
        <w:t xml:space="preserve">GZK.271. </w:t>
      </w:r>
      <w:r w:rsidR="003155D9" w:rsidRPr="00E34651">
        <w:rPr>
          <w:rFonts w:ascii="Calibri" w:hAnsi="Calibri"/>
          <w:b/>
          <w:bCs/>
          <w:color w:val="000000" w:themeColor="text1"/>
          <w:sz w:val="20"/>
          <w:szCs w:val="20"/>
        </w:rPr>
        <w:t>5</w:t>
      </w:r>
      <w:r w:rsidRPr="00E34651">
        <w:rPr>
          <w:rFonts w:ascii="Calibri" w:hAnsi="Calibri"/>
          <w:b/>
          <w:bCs/>
          <w:color w:val="000000" w:themeColor="text1"/>
          <w:sz w:val="20"/>
          <w:szCs w:val="20"/>
        </w:rPr>
        <w:t xml:space="preserve"> . 2021</w:t>
      </w:r>
      <w:r w:rsidR="000452B6" w:rsidRPr="00E34651">
        <w:rPr>
          <w:rFonts w:ascii="Calibri" w:hAnsi="Calibri"/>
          <w:b/>
          <w:bCs/>
          <w:color w:val="000000" w:themeColor="text1"/>
          <w:sz w:val="20"/>
          <w:szCs w:val="20"/>
        </w:rPr>
        <w:t xml:space="preserve"> (część A, B</w:t>
      </w:r>
      <w:r w:rsidR="00BD26D5" w:rsidRPr="00E34651">
        <w:rPr>
          <w:rFonts w:ascii="Calibri" w:hAnsi="Calibri"/>
          <w:b/>
          <w:bCs/>
          <w:color w:val="000000" w:themeColor="text1"/>
          <w:sz w:val="20"/>
          <w:szCs w:val="20"/>
        </w:rPr>
        <w:t xml:space="preserve"> ).</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Jeżeli okres, na jaki ma zostać wniesione zabezpieczenie, przekracza 5 lat, zabezpieczenie w pieniądzu </w:t>
      </w:r>
      <w:r>
        <w:rPr>
          <w:rFonts w:ascii="Calibri" w:eastAsiaTheme="minorHAnsi" w:hAnsi="Calibri" w:cs="Calibri"/>
          <w:color w:val="000000"/>
          <w:sz w:val="20"/>
          <w:szCs w:val="20"/>
          <w:lang w:eastAsia="en-US"/>
        </w:rPr>
        <w:lastRenderedPageBreak/>
        <w:t>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3" w:name="_Hlk517720740"/>
      <w:r>
        <w:rPr>
          <w:rFonts w:asciiTheme="minorHAnsi" w:hAnsiTheme="minorHAnsi" w:cstheme="minorHAnsi"/>
          <w:sz w:val="20"/>
          <w:szCs w:val="20"/>
        </w:rPr>
        <w:t xml:space="preserve"> </w:t>
      </w:r>
      <w:bookmarkStart w:id="4"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4"/>
      <w:r>
        <w:rPr>
          <w:rFonts w:asciiTheme="minorHAnsi" w:hAnsiTheme="minorHAnsi" w:cstheme="minorHAnsi"/>
          <w:b/>
          <w:sz w:val="20"/>
          <w:szCs w:val="20"/>
        </w:rPr>
        <w:t>;</w:t>
      </w:r>
      <w:bookmarkEnd w:id="3"/>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4673A078"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E34651">
        <w:rPr>
          <w:rFonts w:asciiTheme="minorHAnsi" w:hAnsiTheme="minorHAnsi" w:cstheme="minorHAnsi"/>
          <w:b/>
          <w:sz w:val="20"/>
          <w:szCs w:val="20"/>
        </w:rPr>
        <w:t>5</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5"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5"/>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6"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6"/>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D77001"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7"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7"/>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8" w:name="_ftn2"/>
    </w:p>
    <w:p w14:paraId="062571AA" w14:textId="77777777" w:rsidR="005F4A7D" w:rsidRDefault="00D77001"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8"/>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2284A2A"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E34651">
        <w:rPr>
          <w:rFonts w:ascii="Calibri" w:hAnsi="Calibri"/>
          <w:sz w:val="20"/>
          <w:szCs w:val="20"/>
        </w:rPr>
        <w:t xml:space="preserve"> A, B</w:t>
      </w:r>
      <w:r w:rsidR="00934E1E">
        <w:rPr>
          <w:rFonts w:ascii="Calibri" w:hAnsi="Calibri"/>
          <w:sz w:val="20"/>
          <w:szCs w:val="20"/>
        </w:rPr>
        <w:t>.</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F9979" w14:textId="77777777" w:rsidR="00D77001" w:rsidRDefault="00D77001" w:rsidP="00BD26D5">
      <w:r>
        <w:separator/>
      </w:r>
    </w:p>
  </w:endnote>
  <w:endnote w:type="continuationSeparator" w:id="0">
    <w:p w14:paraId="41E5DA1E" w14:textId="77777777" w:rsidR="00D77001" w:rsidRDefault="00D77001"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005FCD" w:rsidRDefault="00005FCD">
        <w:pPr>
          <w:pStyle w:val="Stopka"/>
          <w:pBdr>
            <w:top w:val="single" w:sz="4" w:space="1" w:color="D9D9D9" w:themeColor="background1" w:themeShade="D9"/>
          </w:pBdr>
          <w:jc w:val="right"/>
        </w:pPr>
        <w:r>
          <w:fldChar w:fldCharType="begin"/>
        </w:r>
        <w:r>
          <w:instrText>PAGE   \* MERGEFORMAT</w:instrText>
        </w:r>
        <w:r>
          <w:fldChar w:fldCharType="separate"/>
        </w:r>
        <w:r w:rsidR="00947760">
          <w:rPr>
            <w:noProof/>
          </w:rPr>
          <w:t>13</w:t>
        </w:r>
        <w:r>
          <w:fldChar w:fldCharType="end"/>
        </w:r>
        <w:r>
          <w:t xml:space="preserve"> | </w:t>
        </w:r>
        <w:r>
          <w:rPr>
            <w:color w:val="808080" w:themeColor="background1" w:themeShade="80"/>
            <w:spacing w:val="60"/>
          </w:rPr>
          <w:t>Strona</w:t>
        </w:r>
      </w:p>
    </w:sdtContent>
  </w:sdt>
  <w:p w14:paraId="0C0BB997" w14:textId="77777777" w:rsidR="00005FCD" w:rsidRDefault="00005F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B695" w14:textId="77777777" w:rsidR="00D77001" w:rsidRDefault="00D77001" w:rsidP="00BD26D5">
      <w:r>
        <w:separator/>
      </w:r>
    </w:p>
  </w:footnote>
  <w:footnote w:type="continuationSeparator" w:id="0">
    <w:p w14:paraId="79AEA256" w14:textId="77777777" w:rsidR="00D77001" w:rsidRDefault="00D77001"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9"/>
  </w:num>
  <w:num w:numId="35">
    <w:abstractNumId w:val="1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05FCD"/>
    <w:rsid w:val="00010D00"/>
    <w:rsid w:val="000452B6"/>
    <w:rsid w:val="000522EA"/>
    <w:rsid w:val="000F080E"/>
    <w:rsid w:val="002545D7"/>
    <w:rsid w:val="0029025F"/>
    <w:rsid w:val="00311BA8"/>
    <w:rsid w:val="003155D9"/>
    <w:rsid w:val="003504B4"/>
    <w:rsid w:val="003A1CD0"/>
    <w:rsid w:val="003B2283"/>
    <w:rsid w:val="003E432F"/>
    <w:rsid w:val="003E695D"/>
    <w:rsid w:val="00474AB3"/>
    <w:rsid w:val="004E5D9A"/>
    <w:rsid w:val="00515920"/>
    <w:rsid w:val="005629B8"/>
    <w:rsid w:val="005F4A7D"/>
    <w:rsid w:val="006935F4"/>
    <w:rsid w:val="006A2BE3"/>
    <w:rsid w:val="007408E4"/>
    <w:rsid w:val="007414DE"/>
    <w:rsid w:val="007918A4"/>
    <w:rsid w:val="007E1A34"/>
    <w:rsid w:val="007E4072"/>
    <w:rsid w:val="007F360D"/>
    <w:rsid w:val="008D050A"/>
    <w:rsid w:val="008E6077"/>
    <w:rsid w:val="008E6314"/>
    <w:rsid w:val="00900C44"/>
    <w:rsid w:val="00934E1E"/>
    <w:rsid w:val="00947760"/>
    <w:rsid w:val="009732A9"/>
    <w:rsid w:val="009E7C7B"/>
    <w:rsid w:val="00A52D49"/>
    <w:rsid w:val="00AD4C4F"/>
    <w:rsid w:val="00AE2F51"/>
    <w:rsid w:val="00BB62FA"/>
    <w:rsid w:val="00BD26D5"/>
    <w:rsid w:val="00C37091"/>
    <w:rsid w:val="00D0097D"/>
    <w:rsid w:val="00D564A4"/>
    <w:rsid w:val="00D77001"/>
    <w:rsid w:val="00E34651"/>
    <w:rsid w:val="00ED046C"/>
    <w:rsid w:val="00F26C25"/>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k@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f5e68449-bb82-4655-af49-72b6abc37af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Postepowania/f5e68449-bb82-4655-af49-72b6abc37afb"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19</Pages>
  <Words>9500</Words>
  <Characters>57006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31</cp:revision>
  <dcterms:created xsi:type="dcterms:W3CDTF">2021-03-17T12:17:00Z</dcterms:created>
  <dcterms:modified xsi:type="dcterms:W3CDTF">2021-05-27T12:06:00Z</dcterms:modified>
</cp:coreProperties>
</file>