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284" w:rsidRDefault="008B4BD9" w:rsidP="00767C77">
      <w:pPr>
        <w:jc w:val="right"/>
      </w:pPr>
      <w:r>
        <w:t>Osielsko, dnia 24</w:t>
      </w:r>
      <w:bookmarkStart w:id="0" w:name="_GoBack"/>
      <w:bookmarkEnd w:id="0"/>
      <w:r w:rsidR="00767C77">
        <w:t xml:space="preserve">.05.2021 r. </w:t>
      </w:r>
    </w:p>
    <w:p w:rsidR="00767C77" w:rsidRPr="00767C77" w:rsidRDefault="00767C77" w:rsidP="00767C77">
      <w:pPr>
        <w:jc w:val="center"/>
        <w:rPr>
          <w:b/>
        </w:rPr>
      </w:pPr>
      <w:r w:rsidRPr="00767C77">
        <w:rPr>
          <w:b/>
        </w:rPr>
        <w:t>Zainteresowani Wykonawcy</w:t>
      </w:r>
    </w:p>
    <w:p w:rsidR="00767C77" w:rsidRPr="00767C77" w:rsidRDefault="00767C77" w:rsidP="00767C77">
      <w:pPr>
        <w:rPr>
          <w:b/>
        </w:rPr>
      </w:pPr>
      <w:r w:rsidRPr="00767C77">
        <w:rPr>
          <w:b/>
        </w:rPr>
        <w:t>Budowa i rozbudowa oświetlenia na terenie Gminy Osielsko w roku 2021</w:t>
      </w:r>
    </w:p>
    <w:p w:rsidR="00767C77" w:rsidRDefault="00767C77">
      <w:r w:rsidRPr="00767C77">
        <w:rPr>
          <w:b/>
        </w:rPr>
        <w:t>IiZP.271.B.6.2021</w:t>
      </w:r>
    </w:p>
    <w:p w:rsidR="00767C77" w:rsidRDefault="00767C77" w:rsidP="00767C77">
      <w:pPr>
        <w:jc w:val="both"/>
      </w:pPr>
      <w:r>
        <w:t>Pytanie 1</w:t>
      </w:r>
    </w:p>
    <w:p w:rsidR="00767C77" w:rsidRDefault="00767C77" w:rsidP="00767C77">
      <w:pPr>
        <w:jc w:val="both"/>
      </w:pPr>
      <w:r w:rsidRPr="00096802">
        <w:t>Zamawiający w specyfikacji technicznej nie uwzględnił współczynnik</w:t>
      </w:r>
      <w:r>
        <w:t>a</w:t>
      </w:r>
      <w:r w:rsidRPr="00096802">
        <w:t xml:space="preserve"> mocy na poziomie cos Φ&gt;0,9</w:t>
      </w:r>
      <w:r>
        <w:t>x</w:t>
      </w:r>
      <w:r w:rsidRPr="00096802">
        <w:t xml:space="preserve">. </w:t>
      </w:r>
      <w:r>
        <w:t xml:space="preserve">W przypadku braku określenia tego współczynnika, możliwe będzie zastosowanie opraw o zasilaczu niskiej jakości generującym duże ilości mocy biernej, co będzie wiązało się z wysokimi opłatami dla Zamawiającego, bądź koniecznością stosowania urządzeń do kompensacji mocy biernej. </w:t>
      </w:r>
      <w:r w:rsidRPr="00096802">
        <w:t>Wykonawca proponuje zastosowanie zapisu określającego współczynnik mocy na poziomie cos Φ&gt;0,97, zapis taki pozwoli to wyeliminować produkty z zasilaczem niskiej jakości praktycznie niwelując konieczność kompensacji mocy biernej, a co za tym idzie płacenia kar za jej pobór. Rozwiązanie takie jest korzystne dla Zamawiającego z punktu widzenia gospodarności, którą zobowiązany jest kierować się przy wydatkowaniu środków publicznych.</w:t>
      </w:r>
    </w:p>
    <w:p w:rsidR="002F489E" w:rsidRPr="002F489E" w:rsidRDefault="002F489E" w:rsidP="00767C77">
      <w:pPr>
        <w:jc w:val="both"/>
        <w:rPr>
          <w:b/>
          <w:color w:val="C00000"/>
        </w:rPr>
      </w:pPr>
      <w:r w:rsidRPr="002F489E">
        <w:rPr>
          <w:b/>
          <w:color w:val="C00000"/>
        </w:rPr>
        <w:t>Zamawiający dopuszcza oprawy oświetleniowe z zasilaczem o współczynniku mocy &gt;0,95.</w:t>
      </w:r>
    </w:p>
    <w:p w:rsidR="00767C77" w:rsidRDefault="00767C77" w:rsidP="00767C77">
      <w:pPr>
        <w:jc w:val="both"/>
      </w:pPr>
      <w:r>
        <w:t>Pytanie 2</w:t>
      </w:r>
    </w:p>
    <w:p w:rsidR="00767C77" w:rsidRDefault="00767C77" w:rsidP="00767C77">
      <w:pPr>
        <w:jc w:val="both"/>
      </w:pPr>
      <w:r>
        <w:t>Zamawiający wymaga od Wykonawcy aby oprawy oświetleniowe miały certyfikację ENEC. Głównym celem Zamówień Publicznych, pożądanym przez Ustawodawcę, a także leżącym w najlepszym interesie Zamawiającego jest zapewnienie jak największej konkurencyjności. W art. 101 ust 4 ustawy PZP Ustawodawca w sposób jednoznaczny określa, obowiązek Zamawiającego do dopuszczenia rozwiązań równoważnych poprzez dodanie określenia „lub równoważne” w przypadku odniesienia do norm, ocen technicznych, specyfikacji technicznych i systemów referencji technicznych. Co więcej w przypadku stosowania określenia równoważności, zgodnie z art. 99 ust 6 ustawy PZP jest zobowiązany do wskazania kryteriów, którymi będzie kierował się przy ocenie równoważności. Warto w tym miejscu nadmienić, iż zgodnie z orzeczeniem KIO 256/14, „Pojęcie równoważności nie może oznaczać tożsamości”.</w:t>
      </w:r>
    </w:p>
    <w:p w:rsidR="00767C77" w:rsidRDefault="00767C77" w:rsidP="00767C77">
      <w:pPr>
        <w:jc w:val="both"/>
      </w:pPr>
      <w:r>
        <w:t>Mając powyższe na względnie, oraz fakt, że główną wytyczną przy certyfikacji ENEC stanowi norma PN-EN 60598, czy Zamawiający zaakceptuje jako rozwiązanie tożsame certyfikację przeprowadzoną przez niezależne laboratorium badawcze notyfikowane na terenie unii europejskiej po przebadaniu zgodności z normami PN-EN 60598?</w:t>
      </w:r>
    </w:p>
    <w:p w:rsidR="00767C77" w:rsidRDefault="00767C77" w:rsidP="00767C77">
      <w:pPr>
        <w:jc w:val="both"/>
      </w:pPr>
      <w:r>
        <w:t>Jeśli nie, Wykonawca zwraca się z prośbą o określenie czym będzie się kierował przy ocenie równoważności certyfikacji dla ENEC.</w:t>
      </w:r>
    </w:p>
    <w:p w:rsidR="002F489E" w:rsidRPr="002F489E" w:rsidRDefault="002F489E" w:rsidP="00767C77">
      <w:pPr>
        <w:jc w:val="both"/>
        <w:rPr>
          <w:b/>
          <w:color w:val="C00000"/>
        </w:rPr>
      </w:pPr>
      <w:r w:rsidRPr="002F489E">
        <w:rPr>
          <w:b/>
          <w:color w:val="C00000"/>
        </w:rPr>
        <w:t>Zamawiający zaakceptuje inne certyfikaty potwierdzające spełnienie wymagań norm PN-EN.</w:t>
      </w:r>
    </w:p>
    <w:p w:rsidR="00767C77" w:rsidRDefault="00767C77" w:rsidP="00767C77">
      <w:pPr>
        <w:jc w:val="both"/>
      </w:pPr>
      <w:r>
        <w:t>Pytanie 3</w:t>
      </w:r>
    </w:p>
    <w:p w:rsidR="00767C77" w:rsidRDefault="00767C77" w:rsidP="00767C77">
      <w:pPr>
        <w:jc w:val="both"/>
      </w:pPr>
      <w:r>
        <w:t xml:space="preserve">Zamawiający określa w przedmiarze oraz w </w:t>
      </w:r>
      <w:proofErr w:type="spellStart"/>
      <w:r>
        <w:t>SSTWiOR</w:t>
      </w:r>
      <w:proofErr w:type="spellEnd"/>
      <w:r>
        <w:t xml:space="preserve"> dla części Osielsko Jesienna moc opraw. W obu dokumentach moce opraw są określone w sposób rozbieżny. Wykonawca zwraca się z prośbą o wskazanie, opraw jakiej mocy oczekuje Zamawiający?</w:t>
      </w:r>
    </w:p>
    <w:p w:rsidR="00767C77" w:rsidRDefault="00767C77" w:rsidP="00767C77">
      <w:pPr>
        <w:jc w:val="both"/>
      </w:pPr>
      <w:r>
        <w:t xml:space="preserve">Wykonawca prosi również o określenie danymi w zakresie mocy opraw podanymi, w którym z dokumentów ma się kierować w przypadku napotkania ewentualnych innych rozbieżności? </w:t>
      </w:r>
    </w:p>
    <w:p w:rsidR="002F489E" w:rsidRPr="002F489E" w:rsidRDefault="002F489E" w:rsidP="00767C77">
      <w:pPr>
        <w:jc w:val="both"/>
        <w:rPr>
          <w:b/>
          <w:color w:val="C00000"/>
        </w:rPr>
      </w:pPr>
      <w:r w:rsidRPr="002F489E">
        <w:rPr>
          <w:b/>
          <w:color w:val="C00000"/>
        </w:rPr>
        <w:lastRenderedPageBreak/>
        <w:t xml:space="preserve">W przypadku rozbieżności podanych parametrów opraw należy kierować się danymi w obliczeniach programu </w:t>
      </w:r>
      <w:proofErr w:type="spellStart"/>
      <w:r w:rsidRPr="002F489E">
        <w:rPr>
          <w:b/>
          <w:color w:val="C00000"/>
        </w:rPr>
        <w:t>Dialux</w:t>
      </w:r>
      <w:proofErr w:type="spellEnd"/>
      <w:r w:rsidRPr="002F489E">
        <w:rPr>
          <w:b/>
          <w:color w:val="C00000"/>
        </w:rPr>
        <w:t>, gdzie podstawowym parametrem którym należy się kierować jest strumień świetlny oprawy przy zachowaniu skuteczności świetlnej min. 130 lm/W zgodnie z załącznikiem nr 7 do SWZ.</w:t>
      </w:r>
    </w:p>
    <w:p w:rsidR="00767C77" w:rsidRDefault="00767C77" w:rsidP="00767C77">
      <w:pPr>
        <w:jc w:val="both"/>
      </w:pPr>
      <w:r>
        <w:t>Pytanie 4</w:t>
      </w:r>
    </w:p>
    <w:p w:rsidR="00767C77" w:rsidRDefault="00767C77" w:rsidP="00767C77">
      <w:pPr>
        <w:jc w:val="both"/>
      </w:pPr>
      <w:r>
        <w:t xml:space="preserve">Wykonawca zwraca się z prośbą o potwierdzenie, że wymagania w zakresie opraw określone w pliku załącznik nr 7 wytyczne do opraw są nadrzędne w stosunku do charakterystyk podanych w innych dokumentach i są one wiążące dla Wykonawcy. </w:t>
      </w:r>
    </w:p>
    <w:p w:rsidR="002F489E" w:rsidRPr="002F489E" w:rsidRDefault="002F489E" w:rsidP="00767C77">
      <w:pPr>
        <w:jc w:val="both"/>
        <w:rPr>
          <w:b/>
          <w:color w:val="C00000"/>
        </w:rPr>
      </w:pPr>
      <w:r w:rsidRPr="002F489E">
        <w:rPr>
          <w:b/>
          <w:color w:val="C00000"/>
        </w:rPr>
        <w:t>Zamawiający potwierdza, że wymagania w zakresie opraw określone w złączniku nr 7 do SWZ są nadrzędne w stosunku do charakterystyk podanych w innych dokumentach.</w:t>
      </w:r>
    </w:p>
    <w:p w:rsidR="00767C77" w:rsidRDefault="00767C77" w:rsidP="00767C77">
      <w:pPr>
        <w:jc w:val="both"/>
      </w:pPr>
      <w:r>
        <w:t>Pytanie 5</w:t>
      </w:r>
    </w:p>
    <w:p w:rsidR="00767C77" w:rsidRDefault="00767C77" w:rsidP="00767C77">
      <w:pPr>
        <w:jc w:val="both"/>
      </w:pPr>
      <w:r>
        <w:t xml:space="preserve">Zamawiający jako jedno z kryteriów oceny ofert określa okres udzielonej gwarancji. Zamawiający określa, że minimalny oczekiwany przez niego okres gwarancji to 3 lata, a najwyżej punktowany to okres 5 letni. W przypadku opraw oświetlenia ulicznego renomowanych producentów 5letni okres gwarancji stanowi standard. W związku z powyższym Wykonawca proponuje, aby Zamawiający zmienił sposób oceny ofert, poprzez określenie 5 letniego okresu gwarancji jako minimum, oraz wydłużenie maksymalnego oczekiwanego okresu gwarancji do lat 7. Pozwoli to Zamawiającemu zakupić oprawy lepszej jakości, i zapewni dłuższy okres bezawaryjnej pracy oświetlenia. </w:t>
      </w:r>
    </w:p>
    <w:p w:rsidR="00767C77" w:rsidRPr="002F489E" w:rsidRDefault="00767C77" w:rsidP="00767C77">
      <w:pPr>
        <w:jc w:val="both"/>
        <w:rPr>
          <w:b/>
          <w:color w:val="C00000"/>
        </w:rPr>
      </w:pPr>
      <w:r w:rsidRPr="002F489E">
        <w:rPr>
          <w:b/>
          <w:color w:val="C00000"/>
        </w:rPr>
        <w:t xml:space="preserve">Odp. Zamawiający nie zmieni kryterium oceny ofert. </w:t>
      </w:r>
    </w:p>
    <w:p w:rsidR="00767C77" w:rsidRDefault="00767C77" w:rsidP="00767C77">
      <w:pPr>
        <w:jc w:val="both"/>
      </w:pPr>
      <w:r>
        <w:t>Pytanie 6</w:t>
      </w:r>
    </w:p>
    <w:p w:rsidR="00767C77" w:rsidRDefault="00767C77" w:rsidP="00767C77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Zamawiający określa, że oprawa powinna posiadać </w:t>
      </w:r>
      <w:r>
        <w:rPr>
          <w:rFonts w:ascii="Calibri" w:hAnsi="Calibri"/>
          <w:sz w:val="24"/>
          <w:szCs w:val="24"/>
        </w:rPr>
        <w:t>regulacj</w:t>
      </w:r>
      <w:r>
        <w:rPr>
          <w:rFonts w:ascii="Calibri" w:hAnsi="Calibri"/>
        </w:rPr>
        <w:t>ę</w:t>
      </w:r>
      <w:r>
        <w:rPr>
          <w:rFonts w:ascii="Calibri" w:hAnsi="Calibri"/>
          <w:sz w:val="24"/>
          <w:szCs w:val="24"/>
        </w:rPr>
        <w:t xml:space="preserve"> kąta nachylenia oprawy od -90</w:t>
      </w:r>
      <w:r>
        <w:rPr>
          <w:rFonts w:ascii="Calibri" w:hAnsi="Calibri"/>
          <w:vertAlign w:val="superscript"/>
        </w:rPr>
        <w:t>o</w:t>
      </w:r>
      <w:r>
        <w:rPr>
          <w:rFonts w:ascii="Calibri" w:hAnsi="Calibri"/>
          <w:sz w:val="24"/>
          <w:szCs w:val="24"/>
        </w:rPr>
        <w:t xml:space="preserve"> do +10</w:t>
      </w:r>
      <w:r>
        <w:rPr>
          <w:rFonts w:ascii="Calibri" w:hAnsi="Calibri"/>
          <w:vertAlign w:val="superscript"/>
        </w:rPr>
        <w:t>o</w:t>
      </w:r>
      <w:r>
        <w:rPr>
          <w:rFonts w:ascii="Calibri" w:hAnsi="Calibri"/>
        </w:rPr>
        <w:t xml:space="preserve">. Czy Zamawiający zaakceptuje oprawę </w:t>
      </w:r>
      <w:r w:rsidRPr="001C4586">
        <w:rPr>
          <w:rFonts w:ascii="Calibri" w:hAnsi="Calibri"/>
        </w:rPr>
        <w:t xml:space="preserve">z regulacją w zakresie od -15° do +15° dla montażu na słupie oraz na </w:t>
      </w:r>
      <w:r>
        <w:rPr>
          <w:rFonts w:ascii="Calibri" w:hAnsi="Calibri"/>
        </w:rPr>
        <w:t xml:space="preserve">bezpośrednio na </w:t>
      </w:r>
      <w:r w:rsidRPr="001C4586">
        <w:rPr>
          <w:rFonts w:ascii="Calibri" w:hAnsi="Calibri"/>
        </w:rPr>
        <w:t xml:space="preserve">wysięgniku, co łącznie daje regulację w zakresie </w:t>
      </w:r>
      <w:r>
        <w:rPr>
          <w:rFonts w:ascii="Calibri" w:hAnsi="Calibri"/>
        </w:rPr>
        <w:t>-</w:t>
      </w:r>
      <w:r w:rsidRPr="001C4586">
        <w:rPr>
          <w:rFonts w:ascii="Calibri" w:hAnsi="Calibri"/>
        </w:rPr>
        <w:t>1</w:t>
      </w:r>
      <w:r>
        <w:rPr>
          <w:rFonts w:ascii="Calibri" w:hAnsi="Calibri"/>
        </w:rPr>
        <w:t>0</w:t>
      </w:r>
      <w:r w:rsidRPr="001C4586">
        <w:rPr>
          <w:rFonts w:ascii="Calibri" w:hAnsi="Calibri"/>
        </w:rPr>
        <w:t>5° do</w:t>
      </w:r>
      <w:r>
        <w:rPr>
          <w:rFonts w:ascii="Calibri" w:hAnsi="Calibri"/>
        </w:rPr>
        <w:t xml:space="preserve"> +</w:t>
      </w:r>
      <w:r w:rsidRPr="001C4586">
        <w:rPr>
          <w:rFonts w:ascii="Calibri" w:hAnsi="Calibri"/>
        </w:rPr>
        <w:t xml:space="preserve">15° </w:t>
      </w:r>
      <w:r>
        <w:rPr>
          <w:rFonts w:ascii="Calibri" w:hAnsi="Calibri"/>
        </w:rPr>
        <w:t>co</w:t>
      </w:r>
      <w:r w:rsidRPr="001C4586">
        <w:rPr>
          <w:rFonts w:ascii="Calibri" w:hAnsi="Calibri"/>
        </w:rPr>
        <w:t xml:space="preserve"> umożliwi montaż oprawy zgodnie z </w:t>
      </w:r>
      <w:r>
        <w:rPr>
          <w:rFonts w:ascii="Calibri" w:hAnsi="Calibri"/>
        </w:rPr>
        <w:t>standardami montażu opraw drogowych</w:t>
      </w:r>
      <w:r w:rsidRPr="001C4586">
        <w:rPr>
          <w:rFonts w:ascii="Calibri" w:hAnsi="Calibri"/>
        </w:rPr>
        <w:t>?</w:t>
      </w:r>
    </w:p>
    <w:p w:rsidR="002F489E" w:rsidRPr="002F489E" w:rsidRDefault="002F489E" w:rsidP="002F489E">
      <w:pPr>
        <w:jc w:val="both"/>
        <w:rPr>
          <w:rFonts w:ascii="Calibri" w:hAnsi="Calibri"/>
          <w:b/>
          <w:color w:val="C00000"/>
        </w:rPr>
      </w:pPr>
      <w:r w:rsidRPr="002F489E">
        <w:rPr>
          <w:rFonts w:ascii="Calibri" w:hAnsi="Calibri"/>
          <w:b/>
          <w:color w:val="C00000"/>
        </w:rPr>
        <w:t>Zamawiający zaakceptuje oprawę z regulacją kąta nachylenia w zakresie od -15° do +15° dla montażu  na wysięgniku.</w:t>
      </w:r>
    </w:p>
    <w:p w:rsidR="00E06F55" w:rsidRDefault="00E06F55">
      <w:r>
        <w:t>Pytanie 7</w:t>
      </w:r>
    </w:p>
    <w:p w:rsidR="00767C77" w:rsidRDefault="00E06F55">
      <w:r>
        <w:rPr>
          <w:noProof/>
          <w:lang w:eastAsia="pl-PL"/>
        </w:rPr>
        <w:drawing>
          <wp:inline distT="0" distB="0" distL="0" distR="0">
            <wp:extent cx="5760720" cy="205338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55" w:rsidRPr="00E06F55" w:rsidRDefault="00E06F55" w:rsidP="00E06F55">
      <w:pPr>
        <w:spacing w:after="200" w:line="276" w:lineRule="auto"/>
        <w:jc w:val="both"/>
        <w:rPr>
          <w:b/>
          <w:color w:val="C00000"/>
        </w:rPr>
      </w:pPr>
      <w:r w:rsidRPr="00E06F55">
        <w:rPr>
          <w:b/>
          <w:color w:val="C00000"/>
        </w:rPr>
        <w:t>Różnice wynikają ze zmniejszenia zakresu budowy w stosunku do projektu. Zmniejszony zakres jest  pierwszym etapem budowy, który jest określony w opisie przedmiotu zamówienia w SWZ (wskazane są konkretne latarnie) a przedmiar jest dokumentem pomocniczym.</w:t>
      </w:r>
    </w:p>
    <w:p w:rsidR="00E06F55" w:rsidRDefault="00E06F55">
      <w:r>
        <w:lastRenderedPageBreak/>
        <w:t>Pytanie 8</w:t>
      </w:r>
    </w:p>
    <w:p w:rsidR="00E06F55" w:rsidRDefault="00E06F55">
      <w:r>
        <w:rPr>
          <w:noProof/>
          <w:lang w:eastAsia="pl-PL"/>
        </w:rPr>
        <w:drawing>
          <wp:inline distT="0" distB="0" distL="0" distR="0">
            <wp:extent cx="5760720" cy="93846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55" w:rsidRPr="00E06F55" w:rsidRDefault="00E06F55" w:rsidP="00E06F55">
      <w:pPr>
        <w:spacing w:after="200" w:line="276" w:lineRule="auto"/>
        <w:jc w:val="both"/>
        <w:rPr>
          <w:b/>
          <w:color w:val="C00000"/>
        </w:rPr>
      </w:pPr>
      <w:r w:rsidRPr="00E06F55">
        <w:rPr>
          <w:b/>
          <w:color w:val="C00000"/>
        </w:rPr>
        <w:t>Sterownie oświetleniem ma się odbywać za pomocą odbiornika radiowego RSM OR-01 dostępnym w Enea Oświetlenie rejon w Bydgoszczy. Oprawy powinny być wyposażone w zasilacz umożliwiający redukcję strumienia zaprogramowaną na konkretne poziomy i czasy ( do ustalenia na etapie budowy).</w:t>
      </w:r>
    </w:p>
    <w:p w:rsidR="00E06F55" w:rsidRDefault="00E06F55">
      <w:r>
        <w:t>Pytanie 9</w:t>
      </w:r>
    </w:p>
    <w:p w:rsidR="00E06F55" w:rsidRDefault="00E06F55">
      <w:r>
        <w:rPr>
          <w:noProof/>
          <w:lang w:eastAsia="pl-PL"/>
        </w:rPr>
        <w:drawing>
          <wp:inline distT="0" distB="0" distL="0" distR="0">
            <wp:extent cx="5760720" cy="505479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55" w:rsidRPr="00E06F55" w:rsidRDefault="00E06F55" w:rsidP="00E06F55">
      <w:pPr>
        <w:spacing w:after="200" w:line="276" w:lineRule="auto"/>
        <w:rPr>
          <w:b/>
          <w:color w:val="C00000"/>
        </w:rPr>
      </w:pPr>
      <w:r w:rsidRPr="00E06F55">
        <w:rPr>
          <w:b/>
          <w:color w:val="C00000"/>
        </w:rPr>
        <w:t>Zamawiający nie wymaga oznaczania trasy kabla oraz miejsc załomu kabla betonowymi słupkami.</w:t>
      </w:r>
    </w:p>
    <w:p w:rsidR="00E06F55" w:rsidRDefault="00E06F55"/>
    <w:sectPr w:rsidR="00E06F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929"/>
    <w:rsid w:val="001E6284"/>
    <w:rsid w:val="002F489E"/>
    <w:rsid w:val="00767C77"/>
    <w:rsid w:val="008B4BD9"/>
    <w:rsid w:val="00993929"/>
    <w:rsid w:val="00E0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7C77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6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6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7C77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6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6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D0732-B8A7-416D-B365-A7F170A29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770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Zampub</dc:creator>
  <cp:keywords/>
  <dc:description/>
  <cp:lastModifiedBy>Zampub</cp:lastModifiedBy>
  <cp:revision>4</cp:revision>
  <cp:lastPrinted>2021-05-24T10:13:00Z</cp:lastPrinted>
  <dcterms:created xsi:type="dcterms:W3CDTF">2021-05-21T07:57:00Z</dcterms:created>
  <dcterms:modified xsi:type="dcterms:W3CDTF">2021-05-24T10:15:00Z</dcterms:modified>
</cp:coreProperties>
</file>