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2A" w:rsidRPr="00F93AA7" w:rsidRDefault="00387B2A" w:rsidP="00387B2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F93AA7">
        <w:rPr>
          <w:rFonts w:ascii="Verdana" w:hAnsi="Verdana" w:cs="Times New Roman"/>
          <w:b/>
          <w:sz w:val="20"/>
          <w:szCs w:val="20"/>
        </w:rPr>
        <w:t>Uzasadnienie</w:t>
      </w:r>
    </w:p>
    <w:p w:rsidR="00387B2A" w:rsidRPr="002F66CA" w:rsidRDefault="00387B2A" w:rsidP="00387B2A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Uchwalenie Statutu Gminy Osielsko, na podstawie art. 18 ust. 2 pkt 1 ustawy z dnia 8 marca 1990 roku o samorządzie gminnym (t.j. Dz. U. z 2018 r., poz. 994 ze zm.), należy do wyłącznej właściwości Rady Gminy Osielsko. Jego podstawy prawne są jednak znacznie głębsze, gdyż obligatoryjność jego uchwalenia przez każdą jednostkę samorządu terytorialnego przewiduje w art. 164 ust. 4 Konstytucja Rzeczypospolitej Polskiej (Dz. U. z 1997 r. Nr 78, poz. 483 ze zm.).</w:t>
      </w:r>
    </w:p>
    <w:p w:rsidR="00387B2A" w:rsidRPr="002F66CA" w:rsidRDefault="00387B2A" w:rsidP="00387B2A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Zgodnie z przywołaną powyżej podstawą prawną, statut stanowi o ustroju gminy. Ze względu na swój charakter pełni on rolę swoistej lokalnej konstytucji, w której określone są najważniejsze kwestie funkcjonowania Gminy jako podstawowej jednostki samorządu terytorialnego. Uchwalenie Statutu Gminy Osielsko stanowi przejaw samodzielności samorządu terytorialnego, gwarantowanej istotą art. 6 ust. 1 Europejskiej Karty Samorządu Lokalnego (Dz. U. z 1994 r. Nr 144, poz. 607). Nie oznacza to, że Gmina może swobodnie regulować całość swojej działalności. Wręcz przeciwnie regulacje statutowe muszą odpowiadać nie tylko potrzebom i specyfice jednostki samorządu terytorialnego, ale przede wszystkim powinny odpowiadać obowiązującemu porządkowi prawnemu.</w:t>
      </w:r>
    </w:p>
    <w:p w:rsidR="00387B2A" w:rsidRPr="002F66CA" w:rsidRDefault="00387B2A" w:rsidP="00387B2A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Uchwalony w 2003 roku Statut Gminy Osielsko przez okres 15 lat jego obowiązywania uległ w naturalny sposób pewnej swoistej dezaktualizacji. Dodatkowo konieczność opracowania nowego Statutu Gminy Osielska wymusiły ostatnio wprowadzone zmiany w obowiązującym ustawodawstwie, tak w zakresie materialnym jak i ustrojowym. Wszystkie te przesłanki skłoniły do opracowania treści nowego Statutu Gminy Osielsko.</w:t>
      </w:r>
    </w:p>
    <w:p w:rsidR="00387B2A" w:rsidRPr="002F66CA" w:rsidRDefault="00387B2A" w:rsidP="00387B2A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 xml:space="preserve"> Obecnie obowiązujące ustawodawstwo jako materię statutową określa następujące elementy ustrojowe: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zasady tworzenia, łączenia, podziału oraz znoszenia jednostki pomocniczej (art. 5 ust. 3);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zasady dostępu do dokumentów i korzystania z nich (art. 11 ust. 3);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zasady i trybu działania komisji rewizyjnej (art. 18a ust. 5);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organizację wewnętrzną oraz tryb pracy organów gminy (art. 22 ust. 1);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zasady działania klubów radnych (art. 23 ust. 4);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zasady uczestniczenia w pracach rady gminy przewodniczącego organu wykonawczego jednostki pomocniczej (art. 37a);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uprawnienia jednostki pomocniczej do prowadzenia gospodarki finansowej w ramach budżetu gminy (art. 51 ust. 3).</w:t>
      </w:r>
    </w:p>
    <w:p w:rsidR="00387B2A" w:rsidRPr="002F66CA" w:rsidRDefault="00387B2A" w:rsidP="00387B2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ab/>
        <w:t>Niniejszy Statut nie zawiera elementów ustrojowych, które zostały uregulowane wprost w ustawie o samorządzie gminnym, lub mają delegację do uregulowania w innych uchwałach rady, a nie w statucie gminy. Do delegowanych z ustawy do uregulowania przez rady gmin w uchwałach, ale poza statutem gminy, należą sprawy: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konsultacji z mieszkańcami oraz budżetu obywatelskiego (art. 5a);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powoływania młodzieżowej rady gminy (art. 5b ust. 3);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powoływania rady seniorów (art. 5c ust. 5),;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tworzenia jednostek organizacyjnych (art. 9);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 xml:space="preserve">- współdziałania między </w:t>
      </w:r>
      <w:proofErr w:type="spellStart"/>
      <w:r w:rsidRPr="002F66CA">
        <w:rPr>
          <w:rFonts w:ascii="Verdana" w:hAnsi="Verdana" w:cs="Times New Roman"/>
          <w:sz w:val="20"/>
          <w:szCs w:val="20"/>
        </w:rPr>
        <w:t>jst</w:t>
      </w:r>
      <w:proofErr w:type="spellEnd"/>
      <w:r w:rsidRPr="002F66CA">
        <w:rPr>
          <w:rFonts w:ascii="Verdana" w:hAnsi="Verdana" w:cs="Times New Roman"/>
          <w:sz w:val="20"/>
          <w:szCs w:val="20"/>
        </w:rPr>
        <w:t xml:space="preserve"> (art. 10);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wspólnej obsługi jednostek gminnych (art. 10b ust. 2);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organizacji i zakresu działania jednostki pomocniczej (art. 35);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diet radnych oraz sołtysów, a także zasad zwrotu kosztów podróży służbowych (art. 25 ust.4, art.37b);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obywatelskiej inicjatywy uchwałodawczej (art. 41a);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związków i porozumień międzygminnych (rozdział 7) .</w:t>
      </w:r>
    </w:p>
    <w:p w:rsidR="00387B2A" w:rsidRPr="002F66CA" w:rsidRDefault="00387B2A" w:rsidP="00387B2A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Statut nie zawiera przepisów uregulowanych wprost w ustawie, dla wszystkich gmin, dotyczących: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pojęcia gminy i wspólnoty samorządowej (art. 1);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osobowości prawnej i samodzielności gmin (art. 2);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postępowania w sprawach tworzenia, łączenia, dzielenia i znoszenia oraz zmiany granic gminy,  a także referendum (od art. 4 do 4eb);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zadań gmin (art. 7 i 8);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lastRenderedPageBreak/>
        <w:t>- monitoringu przestrzeni publicznej (art. 9a);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sposobu podejmowania rozstrzygnięć przez mieszkańców gminy - w głosowaniu powszechnym (poprzez wybory i referendum) lub za pośrednictwem organów gminy (art. 11);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 xml:space="preserve">- określenia organów gminy – rada gminy, wójt (burmistrz, prezydent miasta) (art. 11a); 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 xml:space="preserve">- jawności działalności organów – ograniczenia jawności mogą wynikać wyłącznie </w:t>
      </w:r>
      <w:r>
        <w:rPr>
          <w:rFonts w:ascii="Verdana" w:hAnsi="Verdana" w:cs="Times New Roman"/>
          <w:sz w:val="20"/>
          <w:szCs w:val="20"/>
        </w:rPr>
        <w:br/>
      </w:r>
      <w:r w:rsidRPr="002F66CA">
        <w:rPr>
          <w:rFonts w:ascii="Verdana" w:hAnsi="Verdana" w:cs="Times New Roman"/>
          <w:sz w:val="20"/>
          <w:szCs w:val="20"/>
        </w:rPr>
        <w:t>z ustaw (art. 11b);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podejmowania uchwał - zasad głosowania (art. 14 oraz art. 19 ust. 1 i 4, art. 20 ust. 1a, art. 28a ust. 2 i 5, art. 28 aa ust. 9, art. 28 b, art. 58, art. 67 ust. 1):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„Art.  14. 1.  Uchwały rady gminy zapadają zwykłą większością głosów w obecności co najmniej połowy ustawowego składu rady, w głosowaniu jawnym, chyba że ustawa stanowi inaczej.2.  Głosowania jawne na sesjach rady odbywają się za pomocą urządzeń umożliwiających sporządzenie i utrwalenie imiennego wykazu głosowań radnych.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3.  W przypadku gdy przeprowadzenie głosowania w sposób określony w ust. 2 nie jest możliwe z przyczyn technicznych przeprowadza się głosowanie imienne.4.  Imienne wykazy głosowań radnych podaje się niezwłocznie do publicznej wiadomości w Biuletynie Informacji Publicznej i na stronie internetowej gminy oraz w inny sposób zwyczajowo przyjęty na obszarze gminy.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Art.  19.  1.  Rada gminy wybiera ze swego grona przewodniczącego i 1-3 wiceprzewodniczących bezwzględną większością głosów w obecności co najmniej połowy ustawowego składu rady, w głosowaniu tajnym.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4.  Odwołanie przewodniczącego i wiceprzewodniczących następuje na wniosek co najmniej 1/4 ustawowego składu rady gminy w trybie określonym w ust. 1.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Art.  20.  1a.  Rada gminy może wprowadzić zmiany w porządku bezwzględną większością głosów ustawowego składu rady.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Art. 28a. 2.  Uchwałę w sprawie absolutorium rada gminy podejmuje bezwzględną większością głosów ustawowego składu rady gminy.3.  Rada gminy może podjąć uchwałę o przeprowadzeniu referendum w sprawie odwołania wójta z przyczyny określonej w ust. 1 na sesji zwołanej nie wcześniej niż po upływie 14 dni od dnia podjęcia uchwały w sprawie nieudzielenia wójtowi absolutorium.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5.  Uchwałę, o której mowa w ust. 3, rada gminy podejmuje bezwzględną większością głosów ustawowego składu rady, w głosowaniu imiennym.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 xml:space="preserve">Art. 28 a a.9.  Po zakończeniu debaty nad raportem o stanie gminy rada gminy przeprowadza głosowanie nad udzieleniem wójtowi wotum zaufania. Uchwałę </w:t>
      </w:r>
      <w:r>
        <w:rPr>
          <w:rFonts w:ascii="Verdana" w:hAnsi="Verdana" w:cs="Times New Roman"/>
          <w:i/>
          <w:sz w:val="20"/>
          <w:szCs w:val="20"/>
        </w:rPr>
        <w:br/>
      </w:r>
      <w:r w:rsidRPr="002F66CA">
        <w:rPr>
          <w:rFonts w:ascii="Verdana" w:hAnsi="Verdana" w:cs="Times New Roman"/>
          <w:i/>
          <w:sz w:val="20"/>
          <w:szCs w:val="20"/>
        </w:rPr>
        <w:t xml:space="preserve">o udzieleniu wójtowi wotum zaufania rada gminy podejmuje bezwzględną większością głosów ustawowego składu rady gminy. Niepodjęcie uchwały </w:t>
      </w:r>
      <w:r>
        <w:rPr>
          <w:rFonts w:ascii="Verdana" w:hAnsi="Verdana" w:cs="Times New Roman"/>
          <w:i/>
          <w:sz w:val="20"/>
          <w:szCs w:val="20"/>
        </w:rPr>
        <w:br/>
      </w:r>
      <w:r w:rsidRPr="002F66CA">
        <w:rPr>
          <w:rFonts w:ascii="Verdana" w:hAnsi="Verdana" w:cs="Times New Roman"/>
          <w:i/>
          <w:sz w:val="20"/>
          <w:szCs w:val="20"/>
        </w:rPr>
        <w:t xml:space="preserve">o udzieleniu wójtowi wotum zaufania jest równoznaczne z podjęciem uchwały </w:t>
      </w:r>
      <w:r>
        <w:rPr>
          <w:rFonts w:ascii="Verdana" w:hAnsi="Verdana" w:cs="Times New Roman"/>
          <w:i/>
          <w:sz w:val="20"/>
          <w:szCs w:val="20"/>
        </w:rPr>
        <w:br/>
      </w:r>
      <w:r w:rsidRPr="002F66CA">
        <w:rPr>
          <w:rFonts w:ascii="Verdana" w:hAnsi="Verdana" w:cs="Times New Roman"/>
          <w:i/>
          <w:sz w:val="20"/>
          <w:szCs w:val="20"/>
        </w:rPr>
        <w:t>o nieudzieleniu wójtowi wotum zaufania.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 xml:space="preserve">Art. 28b.1. Rada gminy, po upływie 9 miesięcy od dnia wyboru wójta i nie później niż na 9 miesięcy przed zakończeniem kadencji, może podjąć uchwałę o przeprowadzeniu referendum w sprawie odwołania wójta z przyczyny innej niż nieudzielenie wójtowi absolutorium lub nieudzielenie wójtowi wotum zaufania jedynie na wniosek co najmniej 1/4 ustawowego składu rady.2.  Wniosek, </w:t>
      </w:r>
      <w:r>
        <w:rPr>
          <w:rFonts w:ascii="Verdana" w:hAnsi="Verdana" w:cs="Times New Roman"/>
          <w:i/>
          <w:sz w:val="20"/>
          <w:szCs w:val="20"/>
        </w:rPr>
        <w:br/>
      </w:r>
      <w:r w:rsidRPr="002F66CA">
        <w:rPr>
          <w:rFonts w:ascii="Verdana" w:hAnsi="Verdana" w:cs="Times New Roman"/>
          <w:i/>
          <w:sz w:val="20"/>
          <w:szCs w:val="20"/>
        </w:rPr>
        <w:t xml:space="preserve">o którym mowa w ust. 1, wymaga formy pisemnej i uzasadnienia przyczyny odwołania oraz podlega zaopiniowaniu przez komisję rewizyjną.3.  Rada gminy może podjąć uchwałę o przeprowadzeniu referendum w sprawie odwołania wójta na sesji zwołanej nie wcześniej niż po upływie 14 dni od dnia złożenia wniosku, </w:t>
      </w:r>
      <w:r>
        <w:rPr>
          <w:rFonts w:ascii="Verdana" w:hAnsi="Verdana" w:cs="Times New Roman"/>
          <w:i/>
          <w:sz w:val="20"/>
          <w:szCs w:val="20"/>
        </w:rPr>
        <w:br/>
      </w:r>
      <w:r w:rsidRPr="002F66CA">
        <w:rPr>
          <w:rFonts w:ascii="Verdana" w:hAnsi="Verdana" w:cs="Times New Roman"/>
          <w:i/>
          <w:sz w:val="20"/>
          <w:szCs w:val="20"/>
        </w:rPr>
        <w:t>o którym mowa w ust. 1.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4.  Uchwałę, o której mowa w ust. 3, rada gminy podejmuje większością co najmniej 3/5 głosów ustawowego składu rady, w głosowaniu imiennym.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Art.  58.  1.  Uchwały i zarządzenia organów gminy dotyczące zobowiązań finansowych wskazują źródła, z których zobowiązania te zostaną pokryte.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i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t>2.  Uchwały rady gminy, o których mowa w ust. 1, zapadają bezwzględną większością głosów w obecności co najmniej połowy ustawowego składu rady.</w:t>
      </w:r>
    </w:p>
    <w:p w:rsidR="00387B2A" w:rsidRPr="002F66CA" w:rsidRDefault="00387B2A" w:rsidP="00387B2A">
      <w:pPr>
        <w:spacing w:after="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i/>
          <w:sz w:val="20"/>
          <w:szCs w:val="20"/>
        </w:rPr>
        <w:lastRenderedPageBreak/>
        <w:t>Art.  67.  1.  Utworzenie związku oraz przystąpienie gminy do związku wymagają przyjęcia jego statutu bezwzględną większością głosów ustawowego składu rady odpowiednio przez rady zainteresowanych gmin albo radę zainteresowanej gminy.”</w:t>
      </w:r>
      <w:r w:rsidRPr="002F66CA">
        <w:rPr>
          <w:rFonts w:ascii="Verdana" w:hAnsi="Verdana" w:cs="Times New Roman"/>
          <w:sz w:val="20"/>
          <w:szCs w:val="20"/>
        </w:rPr>
        <w:t>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 xml:space="preserve">- określenia kompetencji organów gminy – rady gminy, jako organu stanowiącego </w:t>
      </w:r>
      <w:r>
        <w:rPr>
          <w:rFonts w:ascii="Verdana" w:hAnsi="Verdana" w:cs="Times New Roman"/>
          <w:sz w:val="20"/>
          <w:szCs w:val="20"/>
        </w:rPr>
        <w:br/>
      </w:r>
      <w:r w:rsidRPr="002F66CA">
        <w:rPr>
          <w:rFonts w:ascii="Verdana" w:hAnsi="Verdana" w:cs="Times New Roman"/>
          <w:sz w:val="20"/>
          <w:szCs w:val="20"/>
        </w:rPr>
        <w:t>i kontrolnego (art. 15) oraz wójta, jako organu wykonawczego (art. 26);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kadencji rady – 5 lat (art.16);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liczby radnych – piętnastu w gminach do 20 000 mieszkańców (art. 17 ust. 1 pkt 1);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właściwości rad gmin (art.18);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kompetencji komisji rewizyjnej (art. 18a) oraz komisji skarg, wniosków i petycji (art. 18b);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zasad wyboru przewodniczącego i wiceprzewodniczących rady gminy oraz ich odwołania (art. 19);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minimalnej częstotliwości zwoływania sesji (</w:t>
      </w:r>
      <w:proofErr w:type="spellStart"/>
      <w:r w:rsidRPr="002F66CA">
        <w:rPr>
          <w:rFonts w:ascii="Verdana" w:hAnsi="Verdana" w:cs="Times New Roman"/>
          <w:sz w:val="20"/>
          <w:szCs w:val="20"/>
        </w:rPr>
        <w:t>nierzadziej</w:t>
      </w:r>
      <w:proofErr w:type="spellEnd"/>
      <w:r w:rsidRPr="002F66CA">
        <w:rPr>
          <w:rFonts w:ascii="Verdana" w:hAnsi="Verdana" w:cs="Times New Roman"/>
          <w:sz w:val="20"/>
          <w:szCs w:val="20"/>
        </w:rPr>
        <w:t xml:space="preserve"> niż raz na kwartał), wprowadzania zmian w porządku obrad, transmitowania obrad, kompetencji zwołania pierwszej sesji (art. 20);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kompetencji przewodniczącego rady (art. 19 ust. 2 oraz 21a);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kompetencji radnych, w tym dotyczących interpelacji i zapytań (art. 21 ust. 4, art. 23 ust. 1-3 oraz art. 24);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składania ślubowania przez radnych (art.23a);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ograniczeń „zawodowych” radnych (art. 24a, art.24 b, art. 24d, art. 24e, art. 24f), obowiązków związanych z oświadczeniami majątkowymi (art. 24h);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ochrony prawnej radnych (art. 25 ust. 1-3);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ograniczeń radnego w jego działalności (art. 25a, art. 25b);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kadencji wójta - rozpoczyna się w dniu rozpoczęcia kadencji rady gminy lub wyboru go przez radę gminy i upływa z dniem upływu kadencji rady gminy. (art. 26 ust. 2);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zastępcy wójta - 1.  Wójt, w drodze zarządzenia, powołuje oraz odwołuje swojego zastępcę lub zastępców i określa ich liczbę.2.  Liczba zastępców wójta nie może być większa niż:1) jeden w gminach do 20 000 mieszkańców; (art. 26a);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ograniczeń działalności publicznej i zawodowej wójta (art. 24f ust.2, art. 27);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zasad udzielania wójtowi absolutorium (art. 28a);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zasad udzielania wójtowi wotum zaufania (art. 28aa);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zadań i kompetencji wójta (art. 26a, art. 28aa, od art. 30 do art. 33, art.46, art.47, art.60, art.61);</w:t>
      </w:r>
    </w:p>
    <w:p w:rsidR="00387B2A" w:rsidRPr="002F66CA" w:rsidRDefault="00387B2A" w:rsidP="00387B2A">
      <w:pPr>
        <w:spacing w:after="0" w:line="24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>-  zasad przystępowania do związków lub stowarzyszeń (rozdział VII ustawy).</w:t>
      </w:r>
    </w:p>
    <w:p w:rsidR="00387B2A" w:rsidRPr="002F66CA" w:rsidRDefault="00387B2A" w:rsidP="00387B2A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F66CA">
        <w:rPr>
          <w:rFonts w:ascii="Verdana" w:hAnsi="Verdana" w:cs="Times New Roman"/>
          <w:sz w:val="20"/>
          <w:szCs w:val="20"/>
        </w:rPr>
        <w:t xml:space="preserve">Zasada nie powielania w Statucie Gminy przepisów ustawy jest utrwalona w wyrokach sądów administracyjnych. Statut, jako akt prawa miejscowego, nie może wykraczać poza zakres ustawowego upoważnienia do jego wydania ani być niezgodny z innymi powszechnie obowiązującymi przepisami prawa. W myśl § 115 i § 137 w związku z § 143 rozporządzenia Prezesa Rady Ministrów z dnia 20 czerwca 2002 r. w sprawie "Zasad techniki prawodawczej" (t.j. </w:t>
      </w:r>
      <w:proofErr w:type="spellStart"/>
      <w:r w:rsidRPr="002F66CA">
        <w:rPr>
          <w:rFonts w:ascii="Verdana" w:hAnsi="Verdana" w:cs="Times New Roman"/>
          <w:sz w:val="20"/>
          <w:szCs w:val="20"/>
        </w:rPr>
        <w:t>Dz.U</w:t>
      </w:r>
      <w:proofErr w:type="spellEnd"/>
      <w:r w:rsidRPr="002F66CA">
        <w:rPr>
          <w:rFonts w:ascii="Verdana" w:hAnsi="Verdana" w:cs="Times New Roman"/>
          <w:sz w:val="20"/>
          <w:szCs w:val="20"/>
        </w:rPr>
        <w:t>. z 2016r., poz. 283) w akcie prawa miejscowego zamieszcza się tylko przepisy regulujące sprawy przekazane do unormowania w upoważnieniu ustawowym i nie powtarza się w tym akcie przepisów ustaw, ratyfikowanych umów międzynarodowych i rozporządzeń.</w:t>
      </w:r>
    </w:p>
    <w:p w:rsidR="00387B2A" w:rsidRPr="002F66CA" w:rsidRDefault="00387B2A" w:rsidP="00387B2A">
      <w:pPr>
        <w:spacing w:after="0" w:line="240" w:lineRule="auto"/>
        <w:ind w:left="284" w:firstLine="424"/>
        <w:jc w:val="both"/>
        <w:rPr>
          <w:rFonts w:ascii="Verdana" w:hAnsi="Verdana" w:cs="Times New Roman"/>
          <w:sz w:val="20"/>
          <w:szCs w:val="20"/>
        </w:rPr>
      </w:pPr>
    </w:p>
    <w:p w:rsidR="00387B2A" w:rsidRPr="00F93AA7" w:rsidRDefault="00387B2A" w:rsidP="00387B2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387B2A" w:rsidRPr="00F93AA7" w:rsidRDefault="00387B2A" w:rsidP="00387B2A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076DC0" w:rsidRDefault="00076DC0"/>
    <w:sectPr w:rsidR="0007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7B2A"/>
    <w:rsid w:val="00076DC0"/>
    <w:rsid w:val="0038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8741</Characters>
  <Application>Microsoft Office Word</Application>
  <DocSecurity>0</DocSecurity>
  <Lines>72</Lines>
  <Paragraphs>20</Paragraphs>
  <ScaleCrop>false</ScaleCrop>
  <Company>Microsoft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2018-10-19T09:58:00Z</dcterms:created>
  <dcterms:modified xsi:type="dcterms:W3CDTF">2018-10-19T09:58:00Z</dcterms:modified>
</cp:coreProperties>
</file>